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C5D38" w14:textId="452F4EEA" w:rsidR="001B7E83" w:rsidRDefault="001B7E83" w:rsidP="00433CC1">
      <w:r>
        <w:rPr>
          <w:noProof/>
        </w:rPr>
        <w:drawing>
          <wp:anchor distT="0" distB="0" distL="114300" distR="114300" simplePos="0" relativeHeight="251658240" behindDoc="1" locked="0" layoutInCell="1" allowOverlap="1" wp14:anchorId="40BFFEF4" wp14:editId="1BF0CC7B">
            <wp:simplePos x="0" y="0"/>
            <wp:positionH relativeFrom="column">
              <wp:posOffset>-925830</wp:posOffset>
            </wp:positionH>
            <wp:positionV relativeFrom="paragraph">
              <wp:posOffset>-928177</wp:posOffset>
            </wp:positionV>
            <wp:extent cx="7558269" cy="10695127"/>
            <wp:effectExtent l="0" t="0" r="5080" b="0"/>
            <wp:wrapNone/>
            <wp:docPr id="940838035" name="Picture 1" descr="A person waving at a mee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838035" name="Picture 1" descr="A person waving at a meet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269" cy="10695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72FD20" w14:textId="56138056" w:rsidR="001B7E83" w:rsidRDefault="001B7E83" w:rsidP="00433CC1"/>
    <w:p w14:paraId="5AAD58C2" w14:textId="77777777" w:rsidR="001B7E83" w:rsidRDefault="001B7E83" w:rsidP="00433CC1"/>
    <w:p w14:paraId="07EEF7C6" w14:textId="77777777" w:rsidR="001B7E83" w:rsidRDefault="001B7E83" w:rsidP="00433CC1"/>
    <w:p w14:paraId="3FB26759" w14:textId="28C21A7F" w:rsidR="00433CC1" w:rsidRDefault="005052A4" w:rsidP="001B7E83">
      <w:pPr>
        <w:pStyle w:val="Title"/>
      </w:pPr>
      <w:r>
        <w:t xml:space="preserve">Gender Pay Gap </w:t>
      </w:r>
      <w:r w:rsidR="00F75F6E">
        <w:t>Report 2023</w:t>
      </w:r>
    </w:p>
    <w:p w14:paraId="0A09FADE" w14:textId="77777777" w:rsidR="001B7E83" w:rsidRDefault="001B7E83" w:rsidP="00433CC1"/>
    <w:p w14:paraId="09257558" w14:textId="77777777" w:rsidR="001B7E83" w:rsidRDefault="001B7E83" w:rsidP="00433CC1"/>
    <w:p w14:paraId="3905B897" w14:textId="77777777" w:rsidR="001B7E83" w:rsidRDefault="001B7E83" w:rsidP="00433CC1"/>
    <w:p w14:paraId="7F5FE0A5" w14:textId="77777777" w:rsidR="001B7E83" w:rsidRDefault="001B7E83" w:rsidP="00433CC1"/>
    <w:p w14:paraId="7D180307" w14:textId="77777777" w:rsidR="001B7E83" w:rsidRDefault="001B7E83" w:rsidP="00433CC1"/>
    <w:p w14:paraId="34878346" w14:textId="77777777" w:rsidR="001B7E83" w:rsidRDefault="001B7E83" w:rsidP="00433CC1"/>
    <w:p w14:paraId="70ACBDD5" w14:textId="77777777" w:rsidR="001B7E83" w:rsidRDefault="001B7E83" w:rsidP="00433CC1"/>
    <w:p w14:paraId="231BFC5F" w14:textId="77777777" w:rsidR="001B7E83" w:rsidRDefault="001B7E83" w:rsidP="00433CC1"/>
    <w:p w14:paraId="316C0B3B" w14:textId="77777777" w:rsidR="001B7E83" w:rsidRDefault="001B7E83" w:rsidP="00433CC1"/>
    <w:p w14:paraId="6E77BE86" w14:textId="77777777" w:rsidR="001B7E83" w:rsidRDefault="001B7E83" w:rsidP="00433CC1"/>
    <w:p w14:paraId="44FC3BD8" w14:textId="77777777" w:rsidR="001B7E83" w:rsidRDefault="001B7E83" w:rsidP="00433CC1"/>
    <w:p w14:paraId="192CF655" w14:textId="6CF2D240" w:rsidR="001B7E83" w:rsidRDefault="001B7E83">
      <w:r>
        <w:br w:type="page"/>
      </w:r>
    </w:p>
    <w:p w14:paraId="3A78C402" w14:textId="49D44520" w:rsidR="001B7E83" w:rsidRDefault="00663C9F" w:rsidP="003060DB">
      <w:pPr>
        <w:pStyle w:val="Title"/>
      </w:pPr>
      <w:r>
        <w:lastRenderedPageBreak/>
        <w:t>Foreword</w:t>
      </w:r>
    </w:p>
    <w:p w14:paraId="6628144C" w14:textId="779337E3" w:rsidR="00AC2C3B" w:rsidRDefault="00663C9F" w:rsidP="006B4832">
      <w:pPr>
        <w:jc w:val="both"/>
      </w:pPr>
      <w:r>
        <w:rPr>
          <w:b/>
          <w:bCs/>
          <w:noProof/>
        </w:rPr>
        <w:drawing>
          <wp:anchor distT="0" distB="0" distL="114300" distR="114300" simplePos="0" relativeHeight="251672576" behindDoc="1" locked="0" layoutInCell="1" allowOverlap="1" wp14:anchorId="65D4018A" wp14:editId="3F1979A1">
            <wp:simplePos x="0" y="0"/>
            <wp:positionH relativeFrom="column">
              <wp:posOffset>114300</wp:posOffset>
            </wp:positionH>
            <wp:positionV relativeFrom="paragraph">
              <wp:posOffset>113665</wp:posOffset>
            </wp:positionV>
            <wp:extent cx="968578" cy="901700"/>
            <wp:effectExtent l="114300" t="114300" r="117475" b="146050"/>
            <wp:wrapTight wrapText="bothSides">
              <wp:wrapPolygon edited="0">
                <wp:start x="-2550" y="-2738"/>
                <wp:lineTo x="-2550" y="24642"/>
                <wp:lineTo x="23795" y="24642"/>
                <wp:lineTo x="23795" y="-2738"/>
                <wp:lineTo x="-2550" y="-2738"/>
              </wp:wrapPolygon>
            </wp:wrapTight>
            <wp:docPr id="2056944232" name="Picture 2" descr="A person in a suit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944232" name="Picture 2" descr="A person in a suit smiling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17" r="16353" b="35007"/>
                    <a:stretch/>
                  </pic:blipFill>
                  <pic:spPr bwMode="auto">
                    <a:xfrm>
                      <a:off x="0" y="0"/>
                      <a:ext cx="968578" cy="901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B452E">
        <w:t xml:space="preserve">2023 was a significant year </w:t>
      </w:r>
      <w:r w:rsidR="008F27EE">
        <w:t xml:space="preserve">for Wren Sterling </w:t>
      </w:r>
      <w:r w:rsidR="000B452E">
        <w:t xml:space="preserve">as our employee community grew beyond 250 colleagues </w:t>
      </w:r>
      <w:r w:rsidR="00411F5E">
        <w:t>for the first time. W</w:t>
      </w:r>
      <w:r w:rsidR="00CD10F0">
        <w:t xml:space="preserve">e have </w:t>
      </w:r>
      <w:r w:rsidR="00411F5E">
        <w:t xml:space="preserve">always </w:t>
      </w:r>
      <w:r w:rsidR="006D684D">
        <w:t xml:space="preserve">committed to creating a fair and inclusive culture, where we </w:t>
      </w:r>
      <w:r w:rsidR="00804C93">
        <w:t xml:space="preserve">harness our individual experiences to </w:t>
      </w:r>
      <w:r w:rsidR="00481F59">
        <w:t>develop</w:t>
      </w:r>
      <w:r w:rsidR="00804C93">
        <w:t xml:space="preserve"> </w:t>
      </w:r>
      <w:r w:rsidR="00481F59">
        <w:t xml:space="preserve">a collective and collaborative approach to providing the best outcomes for our clients. 2023 </w:t>
      </w:r>
      <w:r w:rsidR="00C77664">
        <w:t>is our</w:t>
      </w:r>
      <w:r w:rsidR="00481F59">
        <w:t xml:space="preserve"> first year of </w:t>
      </w:r>
      <w:r w:rsidR="00C77664">
        <w:t>reporting on</w:t>
      </w:r>
      <w:r w:rsidR="00481F59">
        <w:t xml:space="preserve"> the </w:t>
      </w:r>
      <w:r w:rsidR="007A659E">
        <w:t>Gender Pay Gap</w:t>
      </w:r>
      <w:r w:rsidR="00902EB1">
        <w:t>, and t</w:t>
      </w:r>
      <w:r w:rsidR="00FA3CD8">
        <w:t>his marks the start</w:t>
      </w:r>
      <w:r w:rsidR="00D41171">
        <w:t xml:space="preserve">ing benchmark from which we will be measured going forwards. </w:t>
      </w:r>
      <w:r w:rsidR="00FA3CD8">
        <w:t xml:space="preserve"> </w:t>
      </w:r>
    </w:p>
    <w:p w14:paraId="46607226" w14:textId="39EEE8C4" w:rsidR="006C2037" w:rsidRDefault="00902EB1" w:rsidP="006B4832">
      <w:pPr>
        <w:jc w:val="both"/>
      </w:pPr>
      <w:r>
        <w:t>We do not pay people different</w:t>
      </w:r>
      <w:r w:rsidR="00506D5F">
        <w:t xml:space="preserve">ly based on their gender. </w:t>
      </w:r>
      <w:r w:rsidR="001747CB">
        <w:t xml:space="preserve">Where pay </w:t>
      </w:r>
      <w:r w:rsidR="00506D5F">
        <w:t xml:space="preserve">gaps </w:t>
      </w:r>
      <w:r w:rsidR="001747CB">
        <w:t xml:space="preserve">do </w:t>
      </w:r>
      <w:r w:rsidR="00506D5F">
        <w:t xml:space="preserve">exist within our organisation </w:t>
      </w:r>
      <w:r w:rsidR="001747CB">
        <w:t xml:space="preserve">this is </w:t>
      </w:r>
      <w:r w:rsidR="00506D5F">
        <w:t xml:space="preserve">due to </w:t>
      </w:r>
      <w:r w:rsidR="00196939">
        <w:t xml:space="preserve">low representation of specific gender groupings in key disciplines within our business. </w:t>
      </w:r>
      <w:r w:rsidR="00D847EE">
        <w:t xml:space="preserve">To a very large extent, </w:t>
      </w:r>
      <w:r w:rsidR="00196939">
        <w:t xml:space="preserve">this reflects the challenges faced by </w:t>
      </w:r>
      <w:r w:rsidR="00D847EE">
        <w:t xml:space="preserve">us and the </w:t>
      </w:r>
      <w:r w:rsidR="001747CB">
        <w:t>broader</w:t>
      </w:r>
      <w:r w:rsidR="00663C9F">
        <w:t xml:space="preserve"> independent financial advice (</w:t>
      </w:r>
      <w:r w:rsidR="00D847EE">
        <w:t>IFA</w:t>
      </w:r>
      <w:r w:rsidR="00663C9F">
        <w:t>)</w:t>
      </w:r>
      <w:r w:rsidR="00D847EE">
        <w:t xml:space="preserve"> </w:t>
      </w:r>
      <w:r w:rsidR="00196939">
        <w:t>industry</w:t>
      </w:r>
      <w:r w:rsidR="007A659E">
        <w:t xml:space="preserve"> </w:t>
      </w:r>
      <w:r w:rsidR="002B7C99">
        <w:t>in</w:t>
      </w:r>
      <w:r w:rsidR="00B81BE8">
        <w:t xml:space="preserve"> finding new ways to</w:t>
      </w:r>
      <w:r w:rsidR="00D76525">
        <w:t xml:space="preserve"> engage and</w:t>
      </w:r>
      <w:r w:rsidR="002B7C99">
        <w:t xml:space="preserve"> encourag</w:t>
      </w:r>
      <w:r w:rsidR="00D76525">
        <w:t>e</w:t>
      </w:r>
      <w:r w:rsidR="002B7C99">
        <w:t xml:space="preserve"> more female colleagues into the rewarding career of </w:t>
      </w:r>
      <w:r w:rsidR="00B922B5">
        <w:t xml:space="preserve">providing </w:t>
      </w:r>
      <w:r w:rsidR="00E962DE">
        <w:t>f</w:t>
      </w:r>
      <w:r w:rsidR="00B922B5">
        <w:t xml:space="preserve">inancial advice to clients. </w:t>
      </w:r>
      <w:r w:rsidR="00A817E2">
        <w:t>W</w:t>
      </w:r>
      <w:r w:rsidR="00213810">
        <w:t>e</w:t>
      </w:r>
      <w:r w:rsidR="00A817E2">
        <w:t xml:space="preserve"> have </w:t>
      </w:r>
      <w:r w:rsidR="006C2037">
        <w:t xml:space="preserve">made good progress </w:t>
      </w:r>
      <w:r w:rsidR="00F854F6">
        <w:t xml:space="preserve">to increase female representation within our management and executive teams </w:t>
      </w:r>
      <w:r w:rsidR="006C2037">
        <w:t xml:space="preserve">but have more </w:t>
      </w:r>
      <w:r w:rsidR="00A817E2">
        <w:t xml:space="preserve">work to do </w:t>
      </w:r>
      <w:r w:rsidR="00213810">
        <w:t xml:space="preserve">and we understand that this </w:t>
      </w:r>
      <w:r w:rsidR="00207BE9">
        <w:t>will take time</w:t>
      </w:r>
      <w:r w:rsidR="00213810">
        <w:t xml:space="preserve">. </w:t>
      </w:r>
    </w:p>
    <w:p w14:paraId="6F0FC86E" w14:textId="48F05101" w:rsidR="00902EB1" w:rsidRDefault="001D623E" w:rsidP="006B4832">
      <w:pPr>
        <w:jc w:val="both"/>
      </w:pPr>
      <w:r>
        <w:t xml:space="preserve">In this report we set out our initial actions to respond to the challenge of ensuring our business </w:t>
      </w:r>
      <w:r w:rsidR="0008463A">
        <w:t>reflects the communities we serve</w:t>
      </w:r>
      <w:r w:rsidR="00F5138B">
        <w:t xml:space="preserve">, ensuring we </w:t>
      </w:r>
      <w:r w:rsidR="00514EAA">
        <w:t xml:space="preserve">provide a better experience for our clients, our colleagues and </w:t>
      </w:r>
      <w:r w:rsidR="00407AFA">
        <w:t>stakeholders.</w:t>
      </w:r>
    </w:p>
    <w:p w14:paraId="7138DE48" w14:textId="74AD3C29" w:rsidR="00213810" w:rsidRDefault="00213810" w:rsidP="006B4832">
      <w:pPr>
        <w:jc w:val="both"/>
      </w:pPr>
      <w:r>
        <w:t>The following information ref</w:t>
      </w:r>
      <w:r w:rsidR="0037405E">
        <w:t>l</w:t>
      </w:r>
      <w:r>
        <w:t xml:space="preserve">ects the Gender Pay Gap within Wren Sterling as of </w:t>
      </w:r>
      <w:r w:rsidR="0014629F">
        <w:t>5</w:t>
      </w:r>
      <w:r w:rsidR="0014629F" w:rsidRPr="0014629F">
        <w:rPr>
          <w:vertAlign w:val="superscript"/>
        </w:rPr>
        <w:t>th</w:t>
      </w:r>
      <w:r w:rsidR="0014629F">
        <w:t xml:space="preserve"> April 2023</w:t>
      </w:r>
      <w:r w:rsidR="00945E8C">
        <w:t>.</w:t>
      </w:r>
      <w:r w:rsidR="0014629F">
        <w:t xml:space="preserve"> </w:t>
      </w:r>
    </w:p>
    <w:p w14:paraId="42055A6E" w14:textId="667DA212" w:rsidR="001B5B1B" w:rsidRDefault="00663C9F" w:rsidP="00AC2C3B">
      <w:pPr>
        <w:rPr>
          <w:b/>
          <w:bCs/>
        </w:rPr>
      </w:pPr>
      <w:r w:rsidRPr="00767CC6">
        <w:rPr>
          <w:noProof/>
        </w:rPr>
        <w:drawing>
          <wp:inline distT="0" distB="0" distL="0" distR="0" wp14:anchorId="7CBF72BD" wp14:editId="57A1B392">
            <wp:extent cx="1105552" cy="58728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647" cy="626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9F3D9" w14:textId="00C0F3C0" w:rsidR="001B5B1B" w:rsidRDefault="00AC2C3B" w:rsidP="00AC2C3B">
      <w:pPr>
        <w:rPr>
          <w:b/>
          <w:bCs/>
        </w:rPr>
      </w:pPr>
      <w:r w:rsidRPr="001B5B1B">
        <w:rPr>
          <w:b/>
          <w:bCs/>
        </w:rPr>
        <w:t>Stephen Williams</w:t>
      </w:r>
    </w:p>
    <w:p w14:paraId="44BFE43E" w14:textId="4FC8D26D" w:rsidR="005932D1" w:rsidRDefault="005932D1" w:rsidP="00AC2C3B">
      <w:pPr>
        <w:rPr>
          <w:b/>
          <w:bCs/>
        </w:rPr>
      </w:pPr>
      <w:r w:rsidRPr="001B5B1B">
        <w:rPr>
          <w:b/>
          <w:bCs/>
        </w:rPr>
        <w:t>Director</w:t>
      </w:r>
      <w:r w:rsidR="009112C3">
        <w:rPr>
          <w:b/>
          <w:bCs/>
        </w:rPr>
        <w:t xml:space="preserve"> of </w:t>
      </w:r>
      <w:r w:rsidR="00643F37" w:rsidRPr="001B5B1B">
        <w:rPr>
          <w:b/>
          <w:bCs/>
        </w:rPr>
        <w:t>Human Resources</w:t>
      </w:r>
    </w:p>
    <w:p w14:paraId="1C6D14BE" w14:textId="610B610C" w:rsidR="00E5212B" w:rsidRPr="001B5B1B" w:rsidRDefault="00E5212B" w:rsidP="00AC2C3B">
      <w:pPr>
        <w:rPr>
          <w:b/>
          <w:bCs/>
        </w:rPr>
      </w:pPr>
    </w:p>
    <w:p w14:paraId="760A3D7E" w14:textId="77777777" w:rsidR="005932D1" w:rsidRDefault="005932D1">
      <w:r>
        <w:br w:type="page"/>
      </w:r>
    </w:p>
    <w:p w14:paraId="6AE7DE3E" w14:textId="72F43F80" w:rsidR="00B07E27" w:rsidRDefault="00B3716C" w:rsidP="00B07E27">
      <w:pPr>
        <w:pStyle w:val="Title"/>
      </w:pPr>
      <w:r>
        <w:lastRenderedPageBreak/>
        <w:t>Our Core Values</w:t>
      </w:r>
    </w:p>
    <w:p w14:paraId="7CE14EF1" w14:textId="249973A3" w:rsidR="00094097" w:rsidRDefault="008E0ACF" w:rsidP="006B4832">
      <w:pPr>
        <w:jc w:val="both"/>
      </w:pPr>
      <w:r w:rsidRPr="008E0ACF">
        <w:t xml:space="preserve">Working closely with our colleagues, we have created four values that form the foundation of our brand and </w:t>
      </w:r>
      <w:r w:rsidR="005022E1">
        <w:t xml:space="preserve">our culture as they define </w:t>
      </w:r>
      <w:r w:rsidRPr="008E0ACF">
        <w:t xml:space="preserve">how we </w:t>
      </w:r>
      <w:r w:rsidR="005022E1">
        <w:t xml:space="preserve">seek to </w:t>
      </w:r>
      <w:r w:rsidRPr="008E0ACF">
        <w:t>behave to</w:t>
      </w:r>
      <w:r w:rsidR="00E962DE">
        <w:t>wards</w:t>
      </w:r>
      <w:r w:rsidRPr="008E0ACF">
        <w:t xml:space="preserve"> our clients, our partners and each other</w:t>
      </w:r>
      <w:r>
        <w:t>:</w:t>
      </w:r>
    </w:p>
    <w:p w14:paraId="0B58BD09" w14:textId="1CEDA17A" w:rsidR="00AC2C3B" w:rsidRDefault="00094097" w:rsidP="00C47C3E">
      <w:pPr>
        <w:jc w:val="center"/>
      </w:pPr>
      <w:r w:rsidRPr="000A00C8">
        <w:rPr>
          <w:noProof/>
          <w:color w:val="053333"/>
          <w:szCs w:val="20"/>
        </w:rPr>
        <w:drawing>
          <wp:inline distT="0" distB="0" distL="0" distR="0" wp14:anchorId="596D0012" wp14:editId="611CB002">
            <wp:extent cx="5011420" cy="2014855"/>
            <wp:effectExtent l="0" t="0" r="0" b="4445"/>
            <wp:docPr id="1706819941" name="Picture 1" descr="A close-up of a company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819941" name="Picture 1" descr="A close-up of a company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420" cy="201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54304" w14:textId="2DF5F075" w:rsidR="00094097" w:rsidRDefault="00BD0B9B" w:rsidP="006B4832">
      <w:pPr>
        <w:jc w:val="both"/>
      </w:pPr>
      <w:bookmarkStart w:id="0" w:name="_Hlk162534316"/>
      <w:r>
        <w:t xml:space="preserve">We place emphasis on employee development so that colleagues </w:t>
      </w:r>
      <w:proofErr w:type="gramStart"/>
      <w:r>
        <w:t>have the opportunity to</w:t>
      </w:r>
      <w:proofErr w:type="gramEnd"/>
      <w:r>
        <w:t xml:space="preserve"> </w:t>
      </w:r>
      <w:r w:rsidR="002317F4">
        <w:t xml:space="preserve">define a fulfilling and challenging career </w:t>
      </w:r>
      <w:r w:rsidR="00D365F0">
        <w:t xml:space="preserve">in every </w:t>
      </w:r>
      <w:r w:rsidR="00AB6785">
        <w:t>area</w:t>
      </w:r>
      <w:r w:rsidR="00D365F0">
        <w:t xml:space="preserve"> of our business. We also aspire to make an impact within our local communities</w:t>
      </w:r>
      <w:r w:rsidR="00E32644">
        <w:t>,</w:t>
      </w:r>
      <w:r w:rsidR="004C38F5">
        <w:t xml:space="preserve"> and take our Corporate Social Responsibilities seriously</w:t>
      </w:r>
      <w:r w:rsidR="00B9561A">
        <w:t xml:space="preserve">, providing opportunities for colleagues to volunteer, </w:t>
      </w:r>
      <w:r w:rsidR="00C84910">
        <w:t xml:space="preserve">undertake fundraising and develop awareness of all aspects of </w:t>
      </w:r>
      <w:r w:rsidR="007A2316">
        <w:t>equality, diversity and inclusion</w:t>
      </w:r>
      <w:r w:rsidR="003B681C">
        <w:t xml:space="preserve">. This is an ongoing process, matching our </w:t>
      </w:r>
      <w:r w:rsidR="006D7CE0">
        <w:t>aspiration to be a ‘developer’ organisation, placing learning at the forefront of what we do.</w:t>
      </w:r>
      <w:bookmarkEnd w:id="0"/>
      <w:r w:rsidR="006D7CE0">
        <w:t xml:space="preserve"> </w:t>
      </w:r>
    </w:p>
    <w:p w14:paraId="3640C164" w14:textId="66BF0AA9" w:rsidR="007A4431" w:rsidRDefault="007A4431" w:rsidP="007A4431">
      <w:pPr>
        <w:pStyle w:val="Title"/>
      </w:pPr>
      <w:r>
        <w:t xml:space="preserve">Gender Pay Gap </w:t>
      </w:r>
      <w:r w:rsidR="00BF7D5C">
        <w:t>Reporting</w:t>
      </w:r>
      <w:r w:rsidR="00663C9F">
        <w:t>:</w:t>
      </w:r>
      <w:r>
        <w:t xml:space="preserve"> </w:t>
      </w:r>
      <w:r w:rsidR="00BF7D5C">
        <w:t>Explained</w:t>
      </w:r>
    </w:p>
    <w:p w14:paraId="2E650A72" w14:textId="77777777" w:rsidR="00453382" w:rsidRDefault="00453382" w:rsidP="00453382"/>
    <w:p w14:paraId="4F22BA6C" w14:textId="626D0B20" w:rsidR="00EB1EFD" w:rsidRDefault="00453382" w:rsidP="006B4832">
      <w:pPr>
        <w:jc w:val="both"/>
      </w:pPr>
      <w:r>
        <w:t>Gender Pay Gap Legislation requires all businesses with more than 25</w:t>
      </w:r>
      <w:r w:rsidR="00D633F0">
        <w:t>0</w:t>
      </w:r>
      <w:r>
        <w:t xml:space="preserve"> employees to</w:t>
      </w:r>
      <w:r w:rsidR="00D633F0">
        <w:t xml:space="preserve"> calculate</w:t>
      </w:r>
      <w:r>
        <w:t xml:space="preserve"> </w:t>
      </w:r>
      <w:r w:rsidR="00E962DE">
        <w:t xml:space="preserve">and </w:t>
      </w:r>
      <w:r>
        <w:t xml:space="preserve">publish data on </w:t>
      </w:r>
      <w:r w:rsidR="00E962DE">
        <w:t>G</w:t>
      </w:r>
      <w:r w:rsidR="007D092A">
        <w:t xml:space="preserve">ender </w:t>
      </w:r>
      <w:r w:rsidR="00E962DE">
        <w:t>P</w:t>
      </w:r>
      <w:r w:rsidR="007D092A">
        <w:t xml:space="preserve">ay </w:t>
      </w:r>
      <w:r w:rsidR="00E962DE">
        <w:t>G</w:t>
      </w:r>
      <w:r w:rsidR="007D092A">
        <w:t>ap data on an annual basis</w:t>
      </w:r>
      <w:r w:rsidRPr="00453382">
        <w:t>.</w:t>
      </w:r>
      <w:r w:rsidR="007D092A">
        <w:t xml:space="preserve"> All businesses provide this snapshot based on data on </w:t>
      </w:r>
      <w:r w:rsidR="00BC5984">
        <w:t>5</w:t>
      </w:r>
      <w:r w:rsidR="00BC5984" w:rsidRPr="00BC5984">
        <w:rPr>
          <w:vertAlign w:val="superscript"/>
        </w:rPr>
        <w:t>th</w:t>
      </w:r>
      <w:r w:rsidR="00BC5984">
        <w:t xml:space="preserve"> April of every year. Specifically</w:t>
      </w:r>
      <w:r w:rsidR="006B4832">
        <w:t>,</w:t>
      </w:r>
      <w:r w:rsidR="00BC5984">
        <w:t xml:space="preserve"> the reported data</w:t>
      </w:r>
      <w:r w:rsidR="00EB1EFD">
        <w:t xml:space="preserve"> is as follows:</w:t>
      </w:r>
    </w:p>
    <w:p w14:paraId="7C51FD57" w14:textId="046CB81F" w:rsidR="00325A78" w:rsidRDefault="00325A78" w:rsidP="006B4832">
      <w:pPr>
        <w:pStyle w:val="ListParagraph"/>
        <w:numPr>
          <w:ilvl w:val="0"/>
          <w:numId w:val="6"/>
        </w:numPr>
        <w:jc w:val="both"/>
      </w:pPr>
      <w:r>
        <w:t xml:space="preserve">Mean average Pay Gap for hourly pay between Male &amp; Female employees. </w:t>
      </w:r>
    </w:p>
    <w:p w14:paraId="350384D8" w14:textId="59E021D3" w:rsidR="00325A78" w:rsidRDefault="00325A78" w:rsidP="006B4832">
      <w:pPr>
        <w:pStyle w:val="ListParagraph"/>
        <w:numPr>
          <w:ilvl w:val="0"/>
          <w:numId w:val="6"/>
        </w:numPr>
        <w:jc w:val="both"/>
      </w:pPr>
      <w:r>
        <w:t xml:space="preserve">Median average Pay Gap for hourly pay between Male &amp; Female employees. </w:t>
      </w:r>
    </w:p>
    <w:p w14:paraId="65AD9D20" w14:textId="3B10B992" w:rsidR="00325A78" w:rsidRDefault="00325A78" w:rsidP="006B4832">
      <w:pPr>
        <w:pStyle w:val="ListParagraph"/>
        <w:numPr>
          <w:ilvl w:val="0"/>
          <w:numId w:val="6"/>
        </w:numPr>
        <w:jc w:val="both"/>
      </w:pPr>
      <w:r>
        <w:t>The percentage of Male &amp; Female employees receiving bonus pay.</w:t>
      </w:r>
    </w:p>
    <w:p w14:paraId="39D65C80" w14:textId="5B60FBF7" w:rsidR="00325A78" w:rsidRDefault="00325A78" w:rsidP="006B4832">
      <w:pPr>
        <w:pStyle w:val="ListParagraph"/>
        <w:numPr>
          <w:ilvl w:val="0"/>
          <w:numId w:val="6"/>
        </w:numPr>
        <w:jc w:val="both"/>
      </w:pPr>
      <w:r>
        <w:t>Mean Bonus Pay Gap between Male &amp; Female employees.</w:t>
      </w:r>
    </w:p>
    <w:p w14:paraId="331F4854" w14:textId="77777777" w:rsidR="003A4109" w:rsidRDefault="00325A78" w:rsidP="006B4832">
      <w:pPr>
        <w:pStyle w:val="ListParagraph"/>
        <w:numPr>
          <w:ilvl w:val="0"/>
          <w:numId w:val="6"/>
        </w:numPr>
        <w:jc w:val="both"/>
      </w:pPr>
      <w:r>
        <w:t>Median Bonus Pay Gap between Male &amp; Female employees</w:t>
      </w:r>
      <w:r w:rsidR="003A4109">
        <w:t>.</w:t>
      </w:r>
    </w:p>
    <w:p w14:paraId="2D9E6D82" w14:textId="77777777" w:rsidR="003A4109" w:rsidRDefault="00325A78" w:rsidP="006B4832">
      <w:pPr>
        <w:pStyle w:val="ListParagraph"/>
        <w:numPr>
          <w:ilvl w:val="0"/>
          <w:numId w:val="6"/>
        </w:numPr>
        <w:jc w:val="both"/>
      </w:pPr>
      <w:r>
        <w:t xml:space="preserve">The percentage of Male &amp; Female employees in each hourly pay quartile within the business  </w:t>
      </w:r>
    </w:p>
    <w:p w14:paraId="24A75931" w14:textId="7931BC2A" w:rsidR="005F107E" w:rsidRPr="00AC2C3B" w:rsidRDefault="001D2E2F" w:rsidP="006B4832">
      <w:pPr>
        <w:jc w:val="both"/>
      </w:pPr>
      <w:r>
        <w:t>This provides th</w:t>
      </w:r>
      <w:r w:rsidR="00C054F1">
        <w:t>e</w:t>
      </w:r>
      <w:r>
        <w:t xml:space="preserve"> basis of </w:t>
      </w:r>
      <w:r w:rsidR="00E962DE">
        <w:t>G</w:t>
      </w:r>
      <w:r>
        <w:t xml:space="preserve">ender </w:t>
      </w:r>
      <w:r w:rsidR="00E962DE">
        <w:t>P</w:t>
      </w:r>
      <w:r>
        <w:t xml:space="preserve">ay </w:t>
      </w:r>
      <w:r w:rsidR="00E962DE">
        <w:t>G</w:t>
      </w:r>
      <w:r>
        <w:t xml:space="preserve">ap reporting, allowing </w:t>
      </w:r>
      <w:r w:rsidR="00C054F1">
        <w:t>comparisons to be made between companies and industries.</w:t>
      </w:r>
    </w:p>
    <w:p w14:paraId="191EA656" w14:textId="77777777" w:rsidR="00B07E27" w:rsidRDefault="00B07E27">
      <w:pPr>
        <w:rPr>
          <w:rFonts w:eastAsiaTheme="majorEastAsia" w:cstheme="majorBidi"/>
          <w:b/>
          <w:spacing w:val="-10"/>
          <w:kern w:val="28"/>
          <w:sz w:val="52"/>
          <w:szCs w:val="56"/>
        </w:rPr>
      </w:pPr>
      <w:r>
        <w:br w:type="page"/>
      </w:r>
    </w:p>
    <w:p w14:paraId="66C05490" w14:textId="7CEC87B2" w:rsidR="00AC2C3B" w:rsidRDefault="002A0B5A" w:rsidP="002A0B5A">
      <w:pPr>
        <w:pStyle w:val="Title"/>
      </w:pPr>
      <w:bookmarkStart w:id="1" w:name="_Hlk162533429"/>
      <w:r>
        <w:lastRenderedPageBreak/>
        <w:t>Gender Pay Gap</w:t>
      </w:r>
    </w:p>
    <w:bookmarkEnd w:id="1"/>
    <w:p w14:paraId="5FA24437" w14:textId="3DAA94CE" w:rsidR="00D97AE9" w:rsidRDefault="0036344B" w:rsidP="00356119">
      <w:pPr>
        <w:pStyle w:val="Subtitle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8E858CF" wp14:editId="6FEB7409">
                <wp:simplePos x="0" y="0"/>
                <wp:positionH relativeFrom="margin">
                  <wp:align>right</wp:align>
                </wp:positionH>
                <wp:positionV relativeFrom="paragraph">
                  <wp:posOffset>206952</wp:posOffset>
                </wp:positionV>
                <wp:extent cx="2360930" cy="1875790"/>
                <wp:effectExtent l="0" t="0" r="0" b="0"/>
                <wp:wrapNone/>
                <wp:docPr id="12723148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7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3FA28" w14:textId="77777777" w:rsidR="00557481" w:rsidRDefault="00557481" w:rsidP="00557481">
                            <w:pPr>
                              <w:pStyle w:val="Subtitle"/>
                            </w:pPr>
                            <w:r>
                              <w:t>Gender Pay Gap – Mean</w:t>
                            </w:r>
                          </w:p>
                          <w:p w14:paraId="213DF87B" w14:textId="5E0DF030" w:rsidR="00557481" w:rsidRDefault="00557481" w:rsidP="00557481">
                            <w:pPr>
                              <w:pStyle w:val="Title"/>
                            </w:pPr>
                            <w:r>
                              <w:t>3</w:t>
                            </w:r>
                            <w:r w:rsidR="00224923">
                              <w:t>8</w:t>
                            </w:r>
                            <w:r>
                              <w:t>%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81A765E" w14:textId="77777777" w:rsidR="00557481" w:rsidRPr="00557481" w:rsidRDefault="00557481" w:rsidP="00557481"/>
                          <w:p w14:paraId="61723B95" w14:textId="77777777" w:rsidR="00557481" w:rsidRDefault="00557481" w:rsidP="00557481">
                            <w:pPr>
                              <w:pStyle w:val="Subtitle"/>
                              <w:tabs>
                                <w:tab w:val="left" w:pos="4253"/>
                              </w:tabs>
                            </w:pPr>
                            <w:r>
                              <w:t>Gender Pay Gap - Median</w:t>
                            </w:r>
                          </w:p>
                          <w:p w14:paraId="7664A61B" w14:textId="1DC9C87A" w:rsidR="00557481" w:rsidRDefault="00557481" w:rsidP="00557481">
                            <w:pPr>
                              <w:pStyle w:val="Title"/>
                            </w:pPr>
                            <w:r>
                              <w:t>3</w:t>
                            </w:r>
                            <w:r w:rsidR="00224923">
                              <w:t>5</w:t>
                            </w:r>
                            <w:r>
                              <w:t>%</w:t>
                            </w:r>
                          </w:p>
                          <w:p w14:paraId="372143A1" w14:textId="356F5671" w:rsidR="00557481" w:rsidRDefault="005574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858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16.3pt;width:185.9pt;height:147.7pt;z-index:-251656192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" stroked="f">
                <v:textbox>
                  <w:txbxContent>
                    <w:p w14:paraId="0B53FA28" w14:textId="77777777" w:rsidR="00557481" w:rsidRDefault="00557481" w:rsidP="00557481">
                      <w:pPr>
                        <w:pStyle w:val="Subtitle"/>
                      </w:pPr>
                      <w:r>
                        <w:t>Gender Pay Gap – Mean</w:t>
                      </w:r>
                    </w:p>
                    <w:p w14:paraId="213DF87B" w14:textId="5E0DF030" w:rsidR="00557481" w:rsidRDefault="00557481" w:rsidP="00557481">
                      <w:pPr>
                        <w:pStyle w:val="Title"/>
                      </w:pPr>
                      <w:r>
                        <w:t>3</w:t>
                      </w:r>
                      <w:r w:rsidR="00224923">
                        <w:t>8</w:t>
                      </w:r>
                      <w:r>
                        <w:t>%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681A765E" w14:textId="77777777" w:rsidR="00557481" w:rsidRPr="00557481" w:rsidRDefault="00557481" w:rsidP="00557481"/>
                    <w:p w14:paraId="61723B95" w14:textId="77777777" w:rsidR="00557481" w:rsidRDefault="00557481" w:rsidP="00557481">
                      <w:pPr>
                        <w:pStyle w:val="Subtitle"/>
                        <w:tabs>
                          <w:tab w:val="left" w:pos="4253"/>
                        </w:tabs>
                      </w:pPr>
                      <w:r>
                        <w:t>Gender Pay Gap - Median</w:t>
                      </w:r>
                    </w:p>
                    <w:p w14:paraId="7664A61B" w14:textId="1DC9C87A" w:rsidR="00557481" w:rsidRDefault="00557481" w:rsidP="00557481">
                      <w:pPr>
                        <w:pStyle w:val="Title"/>
                      </w:pPr>
                      <w:r>
                        <w:t>3</w:t>
                      </w:r>
                      <w:r w:rsidR="00224923">
                        <w:t>5</w:t>
                      </w:r>
                      <w:r>
                        <w:t>%</w:t>
                      </w:r>
                    </w:p>
                    <w:p w14:paraId="372143A1" w14:textId="356F5671" w:rsidR="00557481" w:rsidRDefault="00557481"/>
                  </w:txbxContent>
                </v:textbox>
                <w10:wrap anchorx="margin"/>
              </v:shape>
            </w:pict>
          </mc:Fallback>
        </mc:AlternateContent>
      </w:r>
      <w:r w:rsidR="00356119">
        <w:t>Commentary</w:t>
      </w:r>
    </w:p>
    <w:p w14:paraId="2763F4EF" w14:textId="479568EA" w:rsidR="006B4832" w:rsidRDefault="000446E8" w:rsidP="00383A5F">
      <w:pPr>
        <w:ind w:right="3923"/>
        <w:jc w:val="both"/>
      </w:pPr>
      <w:r>
        <w:t xml:space="preserve">The </w:t>
      </w:r>
      <w:r w:rsidR="000A6FB9">
        <w:t xml:space="preserve">primary reason for the existence of a </w:t>
      </w:r>
      <w:r w:rsidR="00E962DE">
        <w:t>G</w:t>
      </w:r>
      <w:r>
        <w:t xml:space="preserve">ender </w:t>
      </w:r>
      <w:r w:rsidR="00E962DE">
        <w:t>P</w:t>
      </w:r>
      <w:r>
        <w:t xml:space="preserve">ay </w:t>
      </w:r>
      <w:r w:rsidR="00E962DE">
        <w:t>G</w:t>
      </w:r>
      <w:r>
        <w:t xml:space="preserve">ap </w:t>
      </w:r>
      <w:r w:rsidR="000A6FB9">
        <w:t xml:space="preserve">within Wren Sterling is due to </w:t>
      </w:r>
      <w:r w:rsidR="00790BAE">
        <w:t xml:space="preserve">under representation of </w:t>
      </w:r>
      <w:r w:rsidR="00A05932">
        <w:t>females within</w:t>
      </w:r>
      <w:r w:rsidR="00FC7700">
        <w:t xml:space="preserve"> Wren Sterling with 42% of employees being female in comparison to 58% </w:t>
      </w:r>
      <w:r w:rsidR="00C952F6">
        <w:t xml:space="preserve">being male. </w:t>
      </w:r>
    </w:p>
    <w:p w14:paraId="4CA1C5B8" w14:textId="79A19263" w:rsidR="000B7027" w:rsidRDefault="00C952F6" w:rsidP="00383A5F">
      <w:pPr>
        <w:ind w:right="3923"/>
        <w:jc w:val="both"/>
      </w:pPr>
      <w:r>
        <w:t>Th</w:t>
      </w:r>
      <w:r w:rsidR="00F912CB">
        <w:t xml:space="preserve">e </w:t>
      </w:r>
      <w:r w:rsidR="00E962DE">
        <w:t>G</w:t>
      </w:r>
      <w:r w:rsidR="00DC2F51">
        <w:t xml:space="preserve">ender </w:t>
      </w:r>
      <w:r w:rsidR="00E962DE">
        <w:t>P</w:t>
      </w:r>
      <w:r w:rsidR="00DC2F51">
        <w:t xml:space="preserve">ay </w:t>
      </w:r>
      <w:r w:rsidR="00E962DE">
        <w:t>G</w:t>
      </w:r>
      <w:r w:rsidR="00F912CB">
        <w:t>ap</w:t>
      </w:r>
      <w:r>
        <w:t xml:space="preserve"> is </w:t>
      </w:r>
      <w:r w:rsidR="004A22D3">
        <w:t xml:space="preserve">amplified </w:t>
      </w:r>
      <w:r w:rsidR="00DC2F51">
        <w:t xml:space="preserve">by </w:t>
      </w:r>
      <w:r w:rsidR="00564595">
        <w:t xml:space="preserve">the lower level of female representation within the generally higher paid </w:t>
      </w:r>
      <w:r w:rsidR="00B54EEE">
        <w:t>Financial Adviser and Executive level population.</w:t>
      </w:r>
      <w:r w:rsidR="00023DB5">
        <w:t xml:space="preserve"> </w:t>
      </w:r>
      <w:r w:rsidR="00564595">
        <w:t xml:space="preserve">Our position mirrors </w:t>
      </w:r>
      <w:r w:rsidR="00E07B37">
        <w:t>an industry wide issue</w:t>
      </w:r>
      <w:r w:rsidR="00DB48B6">
        <w:t xml:space="preserve"> around attracting women into careers as a</w:t>
      </w:r>
      <w:r w:rsidR="002F09CE">
        <w:t>n advis</w:t>
      </w:r>
      <w:r w:rsidR="00E962DE">
        <w:t>er</w:t>
      </w:r>
      <w:r w:rsidR="00DB48B6">
        <w:t xml:space="preserve">, </w:t>
      </w:r>
      <w:r w:rsidR="00E07B37">
        <w:t xml:space="preserve">with </w:t>
      </w:r>
      <w:r w:rsidR="00805DEA">
        <w:t xml:space="preserve">only </w:t>
      </w:r>
      <w:r w:rsidR="00E07B37">
        <w:t xml:space="preserve">16% of </w:t>
      </w:r>
      <w:r w:rsidR="00E962DE">
        <w:t>a</w:t>
      </w:r>
      <w:r w:rsidR="00E07B37">
        <w:t>dvisers being female</w:t>
      </w:r>
      <w:r w:rsidR="000B7027">
        <w:t xml:space="preserve">. </w:t>
      </w:r>
      <w:r w:rsidR="006B4832">
        <w:t>Currently</w:t>
      </w:r>
      <w:r w:rsidR="004A22D3">
        <w:t xml:space="preserve"> </w:t>
      </w:r>
      <w:r w:rsidR="00452A75">
        <w:t xml:space="preserve">12% of </w:t>
      </w:r>
      <w:r w:rsidR="00DB48B6">
        <w:t xml:space="preserve">Wren’s </w:t>
      </w:r>
      <w:r w:rsidR="00452A75">
        <w:t>Adviser / Sales Management population are women</w:t>
      </w:r>
      <w:r w:rsidR="006C7E3C">
        <w:t xml:space="preserve"> indicating that we have work to do to encourage more women to consider a career within this key area.</w:t>
      </w:r>
    </w:p>
    <w:p w14:paraId="468A7467" w14:textId="77777777" w:rsidR="00955F83" w:rsidRDefault="00955F83" w:rsidP="00F5788C">
      <w:pPr>
        <w:pStyle w:val="Title"/>
      </w:pPr>
    </w:p>
    <w:p w14:paraId="4075461C" w14:textId="77777777" w:rsidR="00975C2E" w:rsidRDefault="00975C2E" w:rsidP="00F5788C">
      <w:pPr>
        <w:pStyle w:val="Title"/>
      </w:pPr>
    </w:p>
    <w:p w14:paraId="621EFE64" w14:textId="77777777" w:rsidR="00975C2E" w:rsidRDefault="00975C2E" w:rsidP="00F5788C">
      <w:pPr>
        <w:pStyle w:val="Title"/>
      </w:pPr>
    </w:p>
    <w:p w14:paraId="05B25992" w14:textId="77777777" w:rsidR="00975C2E" w:rsidRDefault="00975C2E" w:rsidP="00F5788C">
      <w:pPr>
        <w:pStyle w:val="Title"/>
      </w:pPr>
    </w:p>
    <w:p w14:paraId="6159B451" w14:textId="26B4D806" w:rsidR="00F5788C" w:rsidRDefault="00F5788C" w:rsidP="00F5788C">
      <w:pPr>
        <w:pStyle w:val="Title"/>
      </w:pPr>
      <w:r>
        <w:t xml:space="preserve">Gender Pay </w:t>
      </w:r>
      <w:r w:rsidR="00663C9F">
        <w:t>G</w:t>
      </w:r>
      <w:r>
        <w:t>ap</w:t>
      </w:r>
      <w:r w:rsidR="00663C9F">
        <w:t>:</w:t>
      </w:r>
      <w:r>
        <w:t xml:space="preserve"> Quartiles</w:t>
      </w:r>
    </w:p>
    <w:p w14:paraId="1A5459F4" w14:textId="6D6D1F5D" w:rsidR="00860B1A" w:rsidRDefault="00E43515" w:rsidP="00554CD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DD34131" wp14:editId="2A7B16CB">
                <wp:simplePos x="0" y="0"/>
                <wp:positionH relativeFrom="column">
                  <wp:posOffset>4542155</wp:posOffset>
                </wp:positionH>
                <wp:positionV relativeFrom="paragraph">
                  <wp:posOffset>368935</wp:posOffset>
                </wp:positionV>
                <wp:extent cx="1115695" cy="260985"/>
                <wp:effectExtent l="0" t="0" r="8255" b="5715"/>
                <wp:wrapSquare wrapText="bothSides"/>
                <wp:docPr id="12177618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0A64E" w14:textId="4D9E2AC0" w:rsidR="001D4286" w:rsidRDefault="001D4286">
                            <w:r>
                              <w:t>Lower Quartile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34131" id="_x0000_s1027" type="#_x0000_t202" style="position:absolute;margin-left:357.65pt;margin-top:29.05pt;width:87.85pt;height:20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" stroked="f">
                <v:textbox>
                  <w:txbxContent>
                    <w:p w14:paraId="3E10A64E" w14:textId="4D9E2AC0" w:rsidR="001D4286" w:rsidRDefault="001D4286">
                      <w:r>
                        <w:t>Lower Quartile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6658E49" wp14:editId="3AB155F2">
                <wp:simplePos x="0" y="0"/>
                <wp:positionH relativeFrom="column">
                  <wp:posOffset>3025775</wp:posOffset>
                </wp:positionH>
                <wp:positionV relativeFrom="paragraph">
                  <wp:posOffset>359410</wp:posOffset>
                </wp:positionV>
                <wp:extent cx="1115695" cy="431800"/>
                <wp:effectExtent l="0" t="0" r="8255" b="6350"/>
                <wp:wrapSquare wrapText="bothSides"/>
                <wp:docPr id="16935808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11076" w14:textId="7E63AC1E" w:rsidR="001D4286" w:rsidRDefault="001D4286" w:rsidP="001D4286">
                            <w:pPr>
                              <w:jc w:val="center"/>
                            </w:pPr>
                            <w:r>
                              <w:t>Lower Middle Quartile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58E49" id="_x0000_s1028" type="#_x0000_t202" style="position:absolute;margin-left:238.25pt;margin-top:28.3pt;width:87.85pt;height:3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" stroked="f">
                <v:textbox>
                  <w:txbxContent>
                    <w:p w14:paraId="04211076" w14:textId="7E63AC1E" w:rsidR="001D4286" w:rsidRDefault="001D4286" w:rsidP="001D4286">
                      <w:pPr>
                        <w:jc w:val="center"/>
                      </w:pPr>
                      <w:r>
                        <w:t>Lower Middle Quartile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6829FB2" wp14:editId="16ACDFAA">
                <wp:simplePos x="0" y="0"/>
                <wp:positionH relativeFrom="column">
                  <wp:posOffset>1603375</wp:posOffset>
                </wp:positionH>
                <wp:positionV relativeFrom="paragraph">
                  <wp:posOffset>349885</wp:posOffset>
                </wp:positionV>
                <wp:extent cx="1115695" cy="431800"/>
                <wp:effectExtent l="0" t="0" r="8255" b="6350"/>
                <wp:wrapSquare wrapText="bothSides"/>
                <wp:docPr id="17273951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88520" w14:textId="43B422E6" w:rsidR="001D4286" w:rsidRDefault="001D4286" w:rsidP="001D4286">
                            <w:pPr>
                              <w:jc w:val="center"/>
                            </w:pPr>
                            <w:r>
                              <w:t>Upper Middle Quartile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29FB2" id="_x0000_s1029" type="#_x0000_t202" style="position:absolute;margin-left:126.25pt;margin-top:27.55pt;width:87.85pt;height:3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" stroked="f">
                <v:textbox>
                  <w:txbxContent>
                    <w:p w14:paraId="4E388520" w14:textId="43B422E6" w:rsidR="001D4286" w:rsidRDefault="001D4286" w:rsidP="001D4286">
                      <w:pPr>
                        <w:jc w:val="center"/>
                      </w:pPr>
                      <w:r>
                        <w:t>Upper Middle Quartile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95E03FC" wp14:editId="54785CFF">
                <wp:simplePos x="0" y="0"/>
                <wp:positionH relativeFrom="column">
                  <wp:posOffset>228600</wp:posOffset>
                </wp:positionH>
                <wp:positionV relativeFrom="paragraph">
                  <wp:posOffset>346710</wp:posOffset>
                </wp:positionV>
                <wp:extent cx="1115695" cy="292100"/>
                <wp:effectExtent l="0" t="0" r="8255" b="0"/>
                <wp:wrapSquare wrapText="bothSides"/>
                <wp:docPr id="9821783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A38F5" w14:textId="0C3AC2D2" w:rsidR="001D4286" w:rsidRDefault="001D4286" w:rsidP="001D4286">
                            <w:pPr>
                              <w:jc w:val="center"/>
                            </w:pPr>
                            <w:r>
                              <w:t>Upper Quartile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E03FC" id="_x0000_s1030" type="#_x0000_t202" style="position:absolute;margin-left:18pt;margin-top:27.3pt;width:87.85pt;height:2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" stroked="f">
                <v:textbox>
                  <w:txbxContent>
                    <w:p w14:paraId="284A38F5" w14:textId="0C3AC2D2" w:rsidR="001D4286" w:rsidRDefault="001D4286" w:rsidP="001D4286">
                      <w:pPr>
                        <w:jc w:val="center"/>
                      </w:pPr>
                      <w:r>
                        <w:t>Upper Quartile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3B9B3F" w14:textId="405E230F" w:rsidR="00B54237" w:rsidRDefault="0086109A" w:rsidP="00F5788C">
      <w:r>
        <w:rPr>
          <w:noProof/>
        </w:rPr>
        <w:drawing>
          <wp:inline distT="0" distB="0" distL="0" distR="0" wp14:anchorId="6899A1DA" wp14:editId="28600243">
            <wp:extent cx="5793932" cy="1575165"/>
            <wp:effectExtent l="0" t="0" r="0" b="6350"/>
            <wp:docPr id="15829737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347" cy="1588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BA7EC2" w14:textId="61A300F4" w:rsidR="00C969A8" w:rsidRDefault="00146965" w:rsidP="006B4832">
      <w:pPr>
        <w:pStyle w:val="Title"/>
        <w:jc w:val="both"/>
      </w:pPr>
      <w:r w:rsidRPr="00146965">
        <w:rPr>
          <w:rFonts w:eastAsiaTheme="minorHAnsi" w:cstheme="minorBidi"/>
          <w:b w:val="0"/>
          <w:spacing w:val="0"/>
          <w:kern w:val="2"/>
          <w:sz w:val="20"/>
          <w:szCs w:val="22"/>
        </w:rPr>
        <w:t xml:space="preserve">59% of all part time employees </w:t>
      </w:r>
      <w:r w:rsidR="002F09CE">
        <w:rPr>
          <w:rFonts w:eastAsiaTheme="minorHAnsi" w:cstheme="minorBidi"/>
          <w:b w:val="0"/>
          <w:spacing w:val="0"/>
          <w:kern w:val="2"/>
          <w:sz w:val="20"/>
          <w:szCs w:val="22"/>
        </w:rPr>
        <w:t xml:space="preserve">are </w:t>
      </w:r>
      <w:r w:rsidRPr="00146965">
        <w:rPr>
          <w:rFonts w:eastAsiaTheme="minorHAnsi" w:cstheme="minorBidi"/>
          <w:b w:val="0"/>
          <w:spacing w:val="0"/>
          <w:kern w:val="2"/>
          <w:sz w:val="20"/>
          <w:szCs w:val="22"/>
        </w:rPr>
        <w:t xml:space="preserve">female, with a high concentration of part time roles positioned within lower pay quartiles. This is due to colleagues proving a primary care role or as part of a planned reduction to retirement. </w:t>
      </w:r>
      <w:r w:rsidR="00C969A8">
        <w:br w:type="page"/>
      </w:r>
    </w:p>
    <w:p w14:paraId="1FE51BAF" w14:textId="4EBA74E0" w:rsidR="00686A33" w:rsidRDefault="00C969A8" w:rsidP="00C969A8">
      <w:pPr>
        <w:pStyle w:val="Title"/>
      </w:pPr>
      <w:r>
        <w:lastRenderedPageBreak/>
        <w:t>Gender Bonus Gap</w:t>
      </w:r>
    </w:p>
    <w:p w14:paraId="78B52016" w14:textId="27E35FCB" w:rsidR="0084690D" w:rsidRDefault="0084690D" w:rsidP="0084690D">
      <w:pPr>
        <w:pStyle w:val="Subtitle"/>
      </w:pPr>
      <w:r>
        <w:t>Commentary</w:t>
      </w:r>
    </w:p>
    <w:p w14:paraId="57519DAE" w14:textId="0D84E1FB" w:rsidR="000123AB" w:rsidRPr="000123AB" w:rsidRDefault="00E72C50" w:rsidP="000123AB">
      <w:r>
        <w:rPr>
          <w:noProof/>
        </w:rPr>
        <w:drawing>
          <wp:inline distT="0" distB="0" distL="0" distR="0" wp14:anchorId="1A830972" wp14:editId="276A6217">
            <wp:extent cx="5648325" cy="1186774"/>
            <wp:effectExtent l="0" t="0" r="0" b="0"/>
            <wp:docPr id="12064061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453" cy="11935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092721" w14:textId="2AE56A09" w:rsidR="00291921" w:rsidRDefault="00514ABA" w:rsidP="00042363">
      <w:pPr>
        <w:pStyle w:val="Subtitle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50B39A9C" wp14:editId="0C3F82B3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2360930" cy="1875790"/>
                <wp:effectExtent l="0" t="0" r="0" b="0"/>
                <wp:wrapNone/>
                <wp:docPr id="9115272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7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F4B69" w14:textId="77777777" w:rsidR="00291921" w:rsidRDefault="00291921" w:rsidP="00291921">
                            <w:pPr>
                              <w:pStyle w:val="Subtitle"/>
                            </w:pPr>
                            <w:r>
                              <w:t>Gender Bonus Gap - Mean</w:t>
                            </w:r>
                          </w:p>
                          <w:p w14:paraId="07DCF103" w14:textId="77777777" w:rsidR="00291921" w:rsidRDefault="00291921" w:rsidP="00291921">
                            <w:pPr>
                              <w:pStyle w:val="Title"/>
                            </w:pPr>
                            <w:r>
                              <w:t>92%</w:t>
                            </w:r>
                          </w:p>
                          <w:p w14:paraId="4216A8DA" w14:textId="77777777" w:rsidR="00291921" w:rsidRDefault="00291921" w:rsidP="00291921">
                            <w:pPr>
                              <w:pStyle w:val="Subtitle"/>
                            </w:pPr>
                          </w:p>
                          <w:p w14:paraId="7A5885D7" w14:textId="77777777" w:rsidR="00291921" w:rsidRDefault="00291921" w:rsidP="00291921">
                            <w:pPr>
                              <w:pStyle w:val="Subtitle"/>
                            </w:pPr>
                            <w:r>
                              <w:t>Gender Bonus Gap - Median</w:t>
                            </w:r>
                          </w:p>
                          <w:p w14:paraId="3113705C" w14:textId="77777777" w:rsidR="00291921" w:rsidRDefault="00291921" w:rsidP="00291921">
                            <w:pPr>
                              <w:pStyle w:val="Title"/>
                            </w:pPr>
                            <w:r>
                              <w:t>90%</w:t>
                            </w:r>
                          </w:p>
                          <w:p w14:paraId="1F60E142" w14:textId="77777777" w:rsidR="00291921" w:rsidRDefault="00291921" w:rsidP="002919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39A9C" id="_x0000_s1031" type="#_x0000_t202" style="position:absolute;margin-left:0;margin-top:13.85pt;width:185.9pt;height:147.7pt;z-index:-251645952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" stroked="f">
                <v:textbox>
                  <w:txbxContent>
                    <w:p w14:paraId="695F4B69" w14:textId="77777777" w:rsidR="00291921" w:rsidRDefault="00291921" w:rsidP="00291921">
                      <w:pPr>
                        <w:pStyle w:val="Subtitle"/>
                      </w:pPr>
                      <w:r>
                        <w:t>Gender Bonus Gap - Mean</w:t>
                      </w:r>
                    </w:p>
                    <w:p w14:paraId="07DCF103" w14:textId="77777777" w:rsidR="00291921" w:rsidRDefault="00291921" w:rsidP="00291921">
                      <w:pPr>
                        <w:pStyle w:val="Title"/>
                      </w:pPr>
                      <w:r>
                        <w:t>92%</w:t>
                      </w:r>
                    </w:p>
                    <w:p w14:paraId="4216A8DA" w14:textId="77777777" w:rsidR="00291921" w:rsidRDefault="00291921" w:rsidP="00291921">
                      <w:pPr>
                        <w:pStyle w:val="Subtitle"/>
                      </w:pPr>
                    </w:p>
                    <w:p w14:paraId="7A5885D7" w14:textId="77777777" w:rsidR="00291921" w:rsidRDefault="00291921" w:rsidP="00291921">
                      <w:pPr>
                        <w:pStyle w:val="Subtitle"/>
                      </w:pPr>
                      <w:r>
                        <w:t>Gender Bonus Gap - Median</w:t>
                      </w:r>
                    </w:p>
                    <w:p w14:paraId="3113705C" w14:textId="77777777" w:rsidR="00291921" w:rsidRDefault="00291921" w:rsidP="00291921">
                      <w:pPr>
                        <w:pStyle w:val="Title"/>
                      </w:pPr>
                      <w:r>
                        <w:t>90%</w:t>
                      </w:r>
                    </w:p>
                    <w:p w14:paraId="1F60E142" w14:textId="77777777" w:rsidR="00291921" w:rsidRDefault="00291921" w:rsidP="00291921"/>
                  </w:txbxContent>
                </v:textbox>
                <w10:wrap anchorx="margin"/>
              </v:shape>
            </w:pict>
          </mc:Fallback>
        </mc:AlternateContent>
      </w:r>
    </w:p>
    <w:p w14:paraId="3DA5E970" w14:textId="4679C831" w:rsidR="001A6FEA" w:rsidRDefault="005E09B5" w:rsidP="006B4832">
      <w:pPr>
        <w:ind w:left="3969" w:right="-46"/>
        <w:jc w:val="both"/>
      </w:pPr>
      <w:r w:rsidRPr="005E09B5">
        <w:t>While more females than males received a bonus</w:t>
      </w:r>
      <w:r w:rsidR="00E962DE">
        <w:t>,</w:t>
      </w:r>
      <w:r w:rsidRPr="005E09B5">
        <w:t xml:space="preserve"> the value of the bonus paid is significantly higher on an annual basis for male rather than female employees</w:t>
      </w:r>
      <w:r w:rsidR="00F1116E">
        <w:t xml:space="preserve"> due to the low level of representation of females in Adviser roles, which provide the highest levels of incentives</w:t>
      </w:r>
      <w:r w:rsidR="009C250C">
        <w:t xml:space="preserve"> and the widest variances in incentive payments</w:t>
      </w:r>
      <w:r w:rsidRPr="005E09B5">
        <w:t xml:space="preserve">. </w:t>
      </w:r>
    </w:p>
    <w:p w14:paraId="2496FD19" w14:textId="256BD074" w:rsidR="00514ABA" w:rsidRDefault="005E09B5" w:rsidP="006B4832">
      <w:pPr>
        <w:ind w:left="3969" w:right="-46"/>
        <w:jc w:val="both"/>
      </w:pPr>
      <w:r w:rsidRPr="005E09B5">
        <w:t>At W</w:t>
      </w:r>
      <w:r>
        <w:t>ren Sterling</w:t>
      </w:r>
      <w:r w:rsidRPr="005E09B5">
        <w:t xml:space="preserve">, </w:t>
      </w:r>
      <w:r w:rsidR="00836F7A">
        <w:t xml:space="preserve">the highest concentration of female employees is in operational roles, and we have taken steps to provide </w:t>
      </w:r>
      <w:r w:rsidR="00A7595D">
        <w:t>non</w:t>
      </w:r>
      <w:r w:rsidR="001A6FEA">
        <w:t xml:space="preserve">-advice </w:t>
      </w:r>
      <w:r w:rsidR="00A7595D">
        <w:t>bonus schemes within these areas over the last 3 years</w:t>
      </w:r>
      <w:r w:rsidR="001A6FEA">
        <w:t>, although it is recognised that these schemes are remunerated at a lower level.</w:t>
      </w:r>
    </w:p>
    <w:p w14:paraId="09EF77A8" w14:textId="4434AE9E" w:rsidR="00042363" w:rsidRDefault="00042363" w:rsidP="00144C0C">
      <w:pPr>
        <w:ind w:left="3402" w:hanging="3402"/>
      </w:pPr>
    </w:p>
    <w:p w14:paraId="62229428" w14:textId="0236C350" w:rsidR="00686A33" w:rsidRDefault="00686A33">
      <w:pPr>
        <w:rPr>
          <w:rFonts w:eastAsiaTheme="majorEastAsia" w:cstheme="majorBidi"/>
          <w:b/>
          <w:spacing w:val="-10"/>
          <w:kern w:val="28"/>
          <w:sz w:val="52"/>
          <w:szCs w:val="56"/>
        </w:rPr>
      </w:pPr>
      <w:r>
        <w:br w:type="page"/>
      </w:r>
    </w:p>
    <w:p w14:paraId="02C89560" w14:textId="77777777" w:rsidR="007F2E4B" w:rsidRDefault="00AB3D1D" w:rsidP="003B1465">
      <w:pPr>
        <w:pStyle w:val="Title"/>
      </w:pPr>
      <w:r>
        <w:lastRenderedPageBreak/>
        <w:t>Insights &amp; Actions</w:t>
      </w:r>
    </w:p>
    <w:p w14:paraId="779239BD" w14:textId="77777777" w:rsidR="006B4832" w:rsidRDefault="006B4832" w:rsidP="007F2E4B">
      <w:pPr>
        <w:pStyle w:val="NoSpacing"/>
      </w:pPr>
    </w:p>
    <w:p w14:paraId="794EAEDF" w14:textId="03D10CFF" w:rsidR="006B4832" w:rsidRDefault="006B4832" w:rsidP="007F2E4B">
      <w:pPr>
        <w:pStyle w:val="NoSpacing"/>
      </w:pPr>
      <w:r>
        <w:t xml:space="preserve">Following the results of our </w:t>
      </w:r>
      <w:r w:rsidR="002F09CE">
        <w:t xml:space="preserve">first ever </w:t>
      </w:r>
      <w:r>
        <w:t xml:space="preserve">Gender Pay Gap Report, we have focussed on </w:t>
      </w:r>
      <w:r w:rsidR="00E9629A">
        <w:t xml:space="preserve">some priority </w:t>
      </w:r>
      <w:r>
        <w:t>in</w:t>
      </w:r>
      <w:r w:rsidR="00A7771F">
        <w:t>itial actions to reduce the gender pay gap within Wren Sterling</w:t>
      </w:r>
      <w:r w:rsidR="00E9629A">
        <w:t xml:space="preserve"> and further </w:t>
      </w:r>
      <w:r w:rsidR="00E42D42">
        <w:t>encourage inclusivity within our business:</w:t>
      </w:r>
    </w:p>
    <w:p w14:paraId="3F9B374E" w14:textId="77777777" w:rsidR="00E42D42" w:rsidRDefault="00E42D42" w:rsidP="007F2E4B">
      <w:pPr>
        <w:pStyle w:val="NoSpacing"/>
      </w:pPr>
    </w:p>
    <w:p w14:paraId="5E764AE5" w14:textId="446C8D3A" w:rsidR="00E2442D" w:rsidRDefault="00DF2C0D" w:rsidP="00035F58">
      <w:pPr>
        <w:pStyle w:val="NoSpacing"/>
        <w:numPr>
          <w:ilvl w:val="0"/>
          <w:numId w:val="7"/>
        </w:numPr>
        <w:jc w:val="both"/>
      </w:pPr>
      <w:r w:rsidRPr="0087593B">
        <w:rPr>
          <w:b/>
          <w:bCs/>
        </w:rPr>
        <w:t>Review of Family Friendly Policies –</w:t>
      </w:r>
      <w:r>
        <w:t xml:space="preserve"> We have introduced our Agile </w:t>
      </w:r>
      <w:r w:rsidR="00C341D3">
        <w:t xml:space="preserve">(Hybrid) </w:t>
      </w:r>
      <w:r>
        <w:t xml:space="preserve">Working Policy, allowing colleagues at every </w:t>
      </w:r>
      <w:r w:rsidR="00B91127">
        <w:t xml:space="preserve">level with the opportunity to work flexibly from </w:t>
      </w:r>
      <w:r w:rsidR="00390E0F">
        <w:t>various</w:t>
      </w:r>
      <w:r w:rsidR="00B91127">
        <w:t xml:space="preserve"> workplace settings</w:t>
      </w:r>
      <w:r w:rsidR="007F4FCF">
        <w:t>. We have</w:t>
      </w:r>
      <w:r w:rsidR="00C341D3">
        <w:t xml:space="preserve"> also </w:t>
      </w:r>
      <w:r w:rsidR="007F4FCF">
        <w:t xml:space="preserve">conducted a market review of our Maternity and Adoption leave pay and policy, and now provide </w:t>
      </w:r>
      <w:r w:rsidR="00A5320A">
        <w:t>13 weeks of full pay followed 13 weeks at half pay to support colleagues with primary care giving responsibilities</w:t>
      </w:r>
      <w:r w:rsidR="00C11EDA">
        <w:t>.</w:t>
      </w:r>
    </w:p>
    <w:p w14:paraId="26FB93B5" w14:textId="6C344BDB" w:rsidR="00EE415E" w:rsidRDefault="0087593B" w:rsidP="00035F58">
      <w:pPr>
        <w:pStyle w:val="NoSpacing"/>
        <w:numPr>
          <w:ilvl w:val="0"/>
          <w:numId w:val="7"/>
        </w:numPr>
        <w:jc w:val="both"/>
      </w:pPr>
      <w:r w:rsidRPr="0087593B">
        <w:rPr>
          <w:b/>
          <w:bCs/>
        </w:rPr>
        <w:t>Recruitment Audit -</w:t>
      </w:r>
      <w:r>
        <w:t xml:space="preserve"> </w:t>
      </w:r>
      <w:r w:rsidR="00C11EDA">
        <w:t xml:space="preserve">We have conducted </w:t>
      </w:r>
      <w:r w:rsidR="000C6C32">
        <w:t>a full r</w:t>
      </w:r>
      <w:r w:rsidR="00EE415E">
        <w:t xml:space="preserve">ecruitment </w:t>
      </w:r>
      <w:r w:rsidR="000C6C32">
        <w:t>a</w:t>
      </w:r>
      <w:r w:rsidR="00EE415E">
        <w:t>udit</w:t>
      </w:r>
      <w:r w:rsidR="000C6C32">
        <w:t xml:space="preserve">, focussing on </w:t>
      </w:r>
      <w:r w:rsidR="005F7CB0">
        <w:t xml:space="preserve">ensuring that the language used in adverts, job descriptions and contract of employment are gender </w:t>
      </w:r>
      <w:r w:rsidR="00C062FE">
        <w:t xml:space="preserve">neutral. We have </w:t>
      </w:r>
      <w:r w:rsidR="00F96F65">
        <w:t>also reviewed our selection processes to ensure they are applied consistently throughout the organisation.</w:t>
      </w:r>
    </w:p>
    <w:p w14:paraId="6527BF88" w14:textId="6FBAAC59" w:rsidR="00C44F5B" w:rsidRDefault="00846DBD" w:rsidP="00035F58">
      <w:pPr>
        <w:pStyle w:val="NoSpacing"/>
        <w:numPr>
          <w:ilvl w:val="0"/>
          <w:numId w:val="7"/>
        </w:numPr>
        <w:jc w:val="both"/>
      </w:pPr>
      <w:r w:rsidRPr="00846DBD">
        <w:rPr>
          <w:b/>
          <w:bCs/>
        </w:rPr>
        <w:t>Diverse Candidate Pooling -</w:t>
      </w:r>
      <w:r>
        <w:t xml:space="preserve"> </w:t>
      </w:r>
      <w:r w:rsidR="00580FEB">
        <w:t>We have conducted a review of the p</w:t>
      </w:r>
      <w:r w:rsidR="00C44F5B">
        <w:t xml:space="preserve">referred </w:t>
      </w:r>
      <w:r w:rsidR="00580FEB">
        <w:t>s</w:t>
      </w:r>
      <w:r w:rsidR="00C44F5B">
        <w:t xml:space="preserve">upplier </w:t>
      </w:r>
      <w:r w:rsidR="00580FEB">
        <w:t>l</w:t>
      </w:r>
      <w:r w:rsidR="00C44F5B">
        <w:t>ist</w:t>
      </w:r>
      <w:r w:rsidR="00580FEB">
        <w:t xml:space="preserve">, </w:t>
      </w:r>
      <w:r w:rsidR="00080714">
        <w:t>engaging</w:t>
      </w:r>
      <w:r w:rsidR="00EC4446">
        <w:t xml:space="preserve"> with agencies to provide </w:t>
      </w:r>
      <w:r w:rsidR="00F83C6E">
        <w:t xml:space="preserve">a diverse candidate pool inclusive of </w:t>
      </w:r>
      <w:r w:rsidR="001E1D49">
        <w:t xml:space="preserve">gender, </w:t>
      </w:r>
      <w:r w:rsidR="00E5212B">
        <w:t>age,</w:t>
      </w:r>
      <w:r w:rsidR="001E1D49">
        <w:t xml:space="preserve"> and ethnicity</w:t>
      </w:r>
      <w:r w:rsidR="0032273D">
        <w:t>.</w:t>
      </w:r>
    </w:p>
    <w:p w14:paraId="2A4C7088" w14:textId="44B01F4D" w:rsidR="00C44F5B" w:rsidRDefault="001B496C" w:rsidP="00035F58">
      <w:pPr>
        <w:pStyle w:val="NoSpacing"/>
        <w:numPr>
          <w:ilvl w:val="0"/>
          <w:numId w:val="7"/>
        </w:numPr>
        <w:jc w:val="both"/>
      </w:pPr>
      <w:r w:rsidRPr="001B496C">
        <w:rPr>
          <w:b/>
          <w:bCs/>
        </w:rPr>
        <w:t>Networking &amp; Development Opportunities -</w:t>
      </w:r>
      <w:r>
        <w:t xml:space="preserve"> </w:t>
      </w:r>
      <w:r w:rsidR="00080714">
        <w:t xml:space="preserve">We will be providing </w:t>
      </w:r>
      <w:r w:rsidR="00742D8D">
        <w:t>m</w:t>
      </w:r>
      <w:r w:rsidR="00C44F5B">
        <w:t xml:space="preserve">embership </w:t>
      </w:r>
      <w:r w:rsidR="00742D8D">
        <w:t>to</w:t>
      </w:r>
      <w:r w:rsidR="00C44F5B">
        <w:t xml:space="preserve"> Women </w:t>
      </w:r>
      <w:r w:rsidR="00E5212B">
        <w:t>i</w:t>
      </w:r>
      <w:r w:rsidR="00C44F5B">
        <w:t>n Banking &amp; Finance</w:t>
      </w:r>
      <w:r w:rsidR="00742D8D">
        <w:t xml:space="preserve"> to </w:t>
      </w:r>
      <w:r w:rsidR="00785B5F">
        <w:t>female colleagues in support of wider development opportunities.</w:t>
      </w:r>
    </w:p>
    <w:p w14:paraId="50B52816" w14:textId="71B08D3E" w:rsidR="005B3C8F" w:rsidRDefault="001B496C" w:rsidP="00035F58">
      <w:pPr>
        <w:pStyle w:val="NoSpacing"/>
        <w:numPr>
          <w:ilvl w:val="0"/>
          <w:numId w:val="7"/>
        </w:numPr>
        <w:jc w:val="both"/>
      </w:pPr>
      <w:r w:rsidRPr="00AC16C5">
        <w:rPr>
          <w:b/>
          <w:bCs/>
        </w:rPr>
        <w:t>Career Pathways -</w:t>
      </w:r>
      <w:r>
        <w:t xml:space="preserve"> </w:t>
      </w:r>
      <w:r w:rsidR="00735EC9">
        <w:t xml:space="preserve">We are responding to employee engagement requests for </w:t>
      </w:r>
      <w:r>
        <w:t xml:space="preserve">clearer signposting of </w:t>
      </w:r>
      <w:r w:rsidR="00AC16C5">
        <w:t>developing a career at Wren Sterling</w:t>
      </w:r>
      <w:r w:rsidR="0060219F">
        <w:t xml:space="preserve">, so colleagues can </w:t>
      </w:r>
      <w:r w:rsidR="00CC068A">
        <w:t xml:space="preserve">understand the level of support and opportunity available. </w:t>
      </w:r>
    </w:p>
    <w:p w14:paraId="1A30EFEC" w14:textId="0906D095" w:rsidR="00F96F65" w:rsidRDefault="00AC16C5" w:rsidP="00035F58">
      <w:pPr>
        <w:pStyle w:val="NoSpacing"/>
        <w:numPr>
          <w:ilvl w:val="0"/>
          <w:numId w:val="7"/>
        </w:numPr>
        <w:jc w:val="both"/>
      </w:pPr>
      <w:r w:rsidRPr="00AC16C5">
        <w:rPr>
          <w:b/>
          <w:bCs/>
        </w:rPr>
        <w:t>Diversity Awareness Days -</w:t>
      </w:r>
      <w:r>
        <w:t xml:space="preserve"> </w:t>
      </w:r>
      <w:r w:rsidR="00CC068A">
        <w:t xml:space="preserve">During 2023 / 2024 we </w:t>
      </w:r>
      <w:r w:rsidR="00771BC3">
        <w:t>are introducing Diversity</w:t>
      </w:r>
      <w:r w:rsidR="00CC068A">
        <w:t xml:space="preserve"> </w:t>
      </w:r>
      <w:r w:rsidR="005F7CB0">
        <w:t>Aw</w:t>
      </w:r>
      <w:r w:rsidR="00C062FE">
        <w:t>areness Days</w:t>
      </w:r>
      <w:r w:rsidR="00771BC3">
        <w:t>, celebrating all</w:t>
      </w:r>
      <w:r w:rsidR="002D4807">
        <w:t xml:space="preserve"> aspects of</w:t>
      </w:r>
      <w:r w:rsidR="00771BC3">
        <w:t xml:space="preserve"> diversity</w:t>
      </w:r>
      <w:r w:rsidR="00044F50">
        <w:t xml:space="preserve"> through education and to encourage social interaction. We are also rolling out Equality &amp; Diversity training to all employees</w:t>
      </w:r>
      <w:r w:rsidR="00390E0F">
        <w:t>.</w:t>
      </w:r>
    </w:p>
    <w:p w14:paraId="58DAFEE2" w14:textId="6CBB411D" w:rsidR="00035F58" w:rsidRDefault="00390E0F" w:rsidP="00035F58">
      <w:pPr>
        <w:pStyle w:val="NoSpacing"/>
        <w:numPr>
          <w:ilvl w:val="0"/>
          <w:numId w:val="7"/>
        </w:numPr>
        <w:jc w:val="both"/>
      </w:pPr>
      <w:r w:rsidRPr="00390E0F">
        <w:rPr>
          <w:b/>
          <w:bCs/>
        </w:rPr>
        <w:t>Wellbeing Support -</w:t>
      </w:r>
      <w:r>
        <w:t xml:space="preserve"> </w:t>
      </w:r>
      <w:r w:rsidR="002D4807">
        <w:t xml:space="preserve">We have trained </w:t>
      </w:r>
      <w:r w:rsidR="004B452A">
        <w:t>our Line Management teams</w:t>
      </w:r>
      <w:r w:rsidR="00A54C8B">
        <w:t xml:space="preserve"> as Mental Health First Aiders</w:t>
      </w:r>
      <w:r w:rsidR="004B452A">
        <w:t xml:space="preserve"> to support employee wellbeing</w:t>
      </w:r>
      <w:r w:rsidR="00AE38BB">
        <w:t xml:space="preserve"> within the workplace. We have also provided colleagues with a range of support through our </w:t>
      </w:r>
      <w:r w:rsidR="00BD6396">
        <w:t xml:space="preserve">Flexible Benefits programme which includes a range of </w:t>
      </w:r>
      <w:r w:rsidR="00EA3ACC">
        <w:t xml:space="preserve">Private Healthcare options, </w:t>
      </w:r>
      <w:r w:rsidR="00AE38BB">
        <w:t xml:space="preserve">Employee Assistance </w:t>
      </w:r>
      <w:r w:rsidR="00E5212B">
        <w:t>Programme,</w:t>
      </w:r>
      <w:r w:rsidR="00AE38BB">
        <w:t xml:space="preserve"> and </w:t>
      </w:r>
      <w:r w:rsidR="00EA3ACC">
        <w:t>access to online Digital GP services.</w:t>
      </w:r>
    </w:p>
    <w:p w14:paraId="5FB3823C" w14:textId="77777777" w:rsidR="00035F58" w:rsidRDefault="00035F58" w:rsidP="00035F58">
      <w:pPr>
        <w:pStyle w:val="NoSpacing"/>
        <w:jc w:val="both"/>
      </w:pPr>
    </w:p>
    <w:p w14:paraId="5D16BBC7" w14:textId="77777777" w:rsidR="00035F58" w:rsidRDefault="00035F58" w:rsidP="00035F58">
      <w:pPr>
        <w:pStyle w:val="NoSpacing"/>
        <w:jc w:val="both"/>
      </w:pPr>
    </w:p>
    <w:p w14:paraId="0B90D7FB" w14:textId="36734D87" w:rsidR="00C969A8" w:rsidRDefault="00BB6FA1" w:rsidP="00C969A8">
      <w:pPr>
        <w:pStyle w:val="Title"/>
      </w:pPr>
      <w:r>
        <w:t>Declaratio</w:t>
      </w:r>
      <w:r w:rsidR="00A10ADA">
        <w:t>n</w:t>
      </w:r>
    </w:p>
    <w:p w14:paraId="404D6914" w14:textId="77777777" w:rsidR="00E143D0" w:rsidRDefault="00A10ADA" w:rsidP="00686A33">
      <w:r>
        <w:t xml:space="preserve">We confirm that our date is accurate </w:t>
      </w:r>
      <w:r w:rsidR="00BF5C84">
        <w:t>and has been calculated according to the requirements of the Equality Act 2019 (Gender Pay Gap Information</w:t>
      </w:r>
      <w:r w:rsidR="00E143D0">
        <w:t>) Regulations 2017.</w:t>
      </w:r>
    </w:p>
    <w:p w14:paraId="072B9CF3" w14:textId="130B0F15" w:rsidR="00E143D0" w:rsidRDefault="00E143D0" w:rsidP="00686A33">
      <w:r>
        <w:t>Signed</w:t>
      </w:r>
      <w:r w:rsidR="00945E8C">
        <w:rPr>
          <w:noProof/>
        </w:rPr>
        <w:drawing>
          <wp:anchor distT="0" distB="0" distL="114300" distR="114300" simplePos="0" relativeHeight="251671552" behindDoc="1" locked="0" layoutInCell="1" allowOverlap="1" wp14:anchorId="089F053E" wp14:editId="02FC8885">
            <wp:simplePos x="0" y="0"/>
            <wp:positionH relativeFrom="column">
              <wp:posOffset>3162300</wp:posOffset>
            </wp:positionH>
            <wp:positionV relativeFrom="paragraph">
              <wp:posOffset>267335</wp:posOffset>
            </wp:positionV>
            <wp:extent cx="1377950" cy="731520"/>
            <wp:effectExtent l="0" t="0" r="0" b="0"/>
            <wp:wrapTight wrapText="bothSides">
              <wp:wrapPolygon edited="0">
                <wp:start x="0" y="0"/>
                <wp:lineTo x="0" y="20813"/>
                <wp:lineTo x="21202" y="20813"/>
                <wp:lineTo x="21202" y="0"/>
                <wp:lineTo x="0" y="0"/>
              </wp:wrapPolygon>
            </wp:wrapTight>
            <wp:docPr id="1345138551" name="Picture 2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138551" name="Picture 2" descr="A close-up of a sign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E9338F4" w14:textId="5BA1278F" w:rsidR="00E143D0" w:rsidRDefault="00945E8C" w:rsidP="00686A33">
      <w:r>
        <w:rPr>
          <w:noProof/>
        </w:rPr>
        <w:drawing>
          <wp:inline distT="0" distB="0" distL="0" distR="0" wp14:anchorId="51B5E0DB" wp14:editId="2A4E4E47">
            <wp:extent cx="1535430" cy="673100"/>
            <wp:effectExtent l="0" t="0" r="7620" b="0"/>
            <wp:docPr id="206004416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04416" name="Picture 1" descr="A close-up of a signature&#10;&#10;Description automatically generated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74" b="21616"/>
                    <a:stretch/>
                  </pic:blipFill>
                  <pic:spPr bwMode="auto">
                    <a:xfrm>
                      <a:off x="0" y="0"/>
                      <a:ext cx="1543201" cy="6765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D25CC">
        <w:tab/>
      </w:r>
      <w:r w:rsidR="00DD25CC">
        <w:tab/>
      </w:r>
      <w:r w:rsidR="00DD25CC">
        <w:tab/>
      </w:r>
      <w:r w:rsidR="00DD25CC">
        <w:tab/>
      </w:r>
      <w:r w:rsidR="00DD25CC">
        <w:tab/>
      </w:r>
      <w:r w:rsidR="00DD25CC">
        <w:tab/>
      </w:r>
      <w:r w:rsidR="00DD25CC">
        <w:tab/>
      </w:r>
    </w:p>
    <w:p w14:paraId="40CAF917" w14:textId="7132CB3C" w:rsidR="00542713" w:rsidRPr="002E20E6" w:rsidRDefault="00E143D0" w:rsidP="00686A33">
      <w:pPr>
        <w:rPr>
          <w:b/>
          <w:bCs/>
        </w:rPr>
      </w:pPr>
      <w:r w:rsidRPr="002E20E6">
        <w:rPr>
          <w:b/>
          <w:bCs/>
        </w:rPr>
        <w:t>James Twining</w:t>
      </w:r>
      <w:r w:rsidR="00542713" w:rsidRPr="002E20E6">
        <w:rPr>
          <w:b/>
          <w:bCs/>
        </w:rPr>
        <w:tab/>
      </w:r>
      <w:r w:rsidR="00542713" w:rsidRPr="002E20E6">
        <w:rPr>
          <w:b/>
          <w:bCs/>
        </w:rPr>
        <w:tab/>
      </w:r>
      <w:r w:rsidR="00542713" w:rsidRPr="002E20E6">
        <w:rPr>
          <w:b/>
          <w:bCs/>
        </w:rPr>
        <w:tab/>
      </w:r>
      <w:r w:rsidR="00542713" w:rsidRPr="002E20E6">
        <w:rPr>
          <w:b/>
          <w:bCs/>
        </w:rPr>
        <w:tab/>
      </w:r>
      <w:r w:rsidR="00542713" w:rsidRPr="002E20E6">
        <w:rPr>
          <w:b/>
          <w:bCs/>
        </w:rPr>
        <w:tab/>
      </w:r>
      <w:r w:rsidR="00542713" w:rsidRPr="002E20E6">
        <w:rPr>
          <w:b/>
          <w:bCs/>
        </w:rPr>
        <w:tab/>
        <w:t>Steve Williams</w:t>
      </w:r>
    </w:p>
    <w:p w14:paraId="425FF6E2" w14:textId="7B34D004" w:rsidR="00686A33" w:rsidRPr="002E20E6" w:rsidRDefault="00E143D0" w:rsidP="00686A33">
      <w:pPr>
        <w:rPr>
          <w:b/>
          <w:bCs/>
        </w:rPr>
      </w:pPr>
      <w:r w:rsidRPr="002E20E6">
        <w:rPr>
          <w:b/>
          <w:bCs/>
        </w:rPr>
        <w:t>Chief Executive Officer</w:t>
      </w:r>
      <w:r w:rsidR="00542713" w:rsidRPr="002E20E6">
        <w:rPr>
          <w:b/>
          <w:bCs/>
        </w:rPr>
        <w:tab/>
      </w:r>
      <w:r w:rsidR="00542713" w:rsidRPr="002E20E6">
        <w:rPr>
          <w:b/>
          <w:bCs/>
        </w:rPr>
        <w:tab/>
      </w:r>
      <w:r w:rsidR="00542713" w:rsidRPr="002E20E6">
        <w:rPr>
          <w:b/>
          <w:bCs/>
        </w:rPr>
        <w:tab/>
      </w:r>
      <w:r w:rsidR="00542713" w:rsidRPr="002E20E6">
        <w:rPr>
          <w:b/>
          <w:bCs/>
        </w:rPr>
        <w:tab/>
        <w:t>Director of H</w:t>
      </w:r>
      <w:r w:rsidR="002E20E6" w:rsidRPr="002E20E6">
        <w:rPr>
          <w:b/>
          <w:bCs/>
        </w:rPr>
        <w:t>uman Resources</w:t>
      </w:r>
    </w:p>
    <w:sectPr w:rsidR="00686A33" w:rsidRPr="002E20E6" w:rsidSect="004B0A4C">
      <w:headerReference w:type="default" r:id="rId20"/>
      <w:headerReference w:type="first" r:id="rId21"/>
      <w:footerReference w:type="first" r:id="rId2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7E70D" w14:textId="77777777" w:rsidR="00713953" w:rsidRDefault="00713953" w:rsidP="0081687A">
      <w:pPr>
        <w:spacing w:after="0" w:line="240" w:lineRule="auto"/>
      </w:pPr>
      <w:r>
        <w:separator/>
      </w:r>
    </w:p>
  </w:endnote>
  <w:endnote w:type="continuationSeparator" w:id="0">
    <w:p w14:paraId="75BEAE1E" w14:textId="77777777" w:rsidR="00713953" w:rsidRDefault="00713953" w:rsidP="00816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Pro 45 Book">
    <w:panose1 w:val="020B0502020203020204"/>
    <w:charset w:val="00"/>
    <w:family w:val="swiss"/>
    <w:notTrueType/>
    <w:pitch w:val="variable"/>
    <w:sig w:usb0="8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749C3" w14:textId="77777777" w:rsidR="00433CC1" w:rsidRPr="00433CC1" w:rsidRDefault="00433CC1" w:rsidP="00433CC1">
    <w:pPr>
      <w:pStyle w:val="Footer"/>
      <w:rPr>
        <w:sz w:val="14"/>
        <w:szCs w:val="14"/>
      </w:rPr>
    </w:pPr>
    <w:r w:rsidRPr="00433CC1">
      <w:rPr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2ABC164B" wp14:editId="0CAFF7A4">
              <wp:simplePos x="0" y="0"/>
              <wp:positionH relativeFrom="column">
                <wp:posOffset>-495300</wp:posOffset>
              </wp:positionH>
              <wp:positionV relativeFrom="paragraph">
                <wp:posOffset>-152400</wp:posOffset>
              </wp:positionV>
              <wp:extent cx="6715125" cy="495300"/>
              <wp:effectExtent l="0" t="0" r="9525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512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BC117D" w14:textId="77777777" w:rsidR="00433CC1" w:rsidRPr="00433CC1" w:rsidRDefault="00433CC1" w:rsidP="00433CC1">
                          <w:pPr>
                            <w:pStyle w:val="Footer"/>
                            <w:jc w:val="center"/>
                            <w:rPr>
                              <w:sz w:val="16"/>
                              <w:szCs w:val="18"/>
                            </w:rPr>
                          </w:pPr>
                          <w:r w:rsidRPr="00433CC1">
                            <w:rPr>
                              <w:sz w:val="16"/>
                              <w:szCs w:val="18"/>
                            </w:rPr>
                            <w:t>Document Name Here         |         Version Number: 01</w:t>
                          </w:r>
                        </w:p>
                        <w:p w14:paraId="2AF7CA1E" w14:textId="77777777" w:rsidR="00433CC1" w:rsidRPr="00433CC1" w:rsidRDefault="00433CC1" w:rsidP="00433CC1">
                          <w:pPr>
                            <w:pStyle w:val="Footer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433CC1">
                            <w:rPr>
                              <w:sz w:val="14"/>
                              <w:szCs w:val="14"/>
                            </w:rPr>
                            <w:t>Wren Sterling is a trading name of Wren Sterling Financial Planning Limited, which is authorised and regulated by the Financial Conduct Authority.</w:t>
                          </w:r>
                        </w:p>
                        <w:p w14:paraId="7F11B557" w14:textId="77777777" w:rsidR="00433CC1" w:rsidRPr="006E4DE8" w:rsidRDefault="00433CC1" w:rsidP="00433CC1">
                          <w:pPr>
                            <w:pStyle w:val="Footer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433CC1">
                            <w:rPr>
                              <w:sz w:val="14"/>
                              <w:szCs w:val="14"/>
                            </w:rPr>
                            <w:t>The Financial Services Register number is 665653. Registered office: 13-19 Derby Road, Nottingham NG1 5AA. Registered in England No. 09157918.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BC164B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-39pt;margin-top:-12pt;width:528.75pt;height:3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" stroked="f">
              <v:textbox>
                <w:txbxContent>
                  <w:p w14:paraId="55BC117D" w14:textId="77777777" w:rsidR="00433CC1" w:rsidRPr="00433CC1" w:rsidRDefault="00433CC1" w:rsidP="00433CC1">
                    <w:pPr>
                      <w:pStyle w:val="Footer"/>
                      <w:jc w:val="center"/>
                      <w:rPr>
                        <w:sz w:val="16"/>
                        <w:szCs w:val="18"/>
                      </w:rPr>
                    </w:pPr>
                    <w:r w:rsidRPr="00433CC1">
                      <w:rPr>
                        <w:sz w:val="16"/>
                        <w:szCs w:val="18"/>
                      </w:rPr>
                      <w:t>Document Name Here         |         Version Number: 01</w:t>
                    </w:r>
                  </w:p>
                  <w:p w14:paraId="2AF7CA1E" w14:textId="77777777" w:rsidR="00433CC1" w:rsidRPr="00433CC1" w:rsidRDefault="00433CC1" w:rsidP="00433CC1">
                    <w:pPr>
                      <w:pStyle w:val="Footer"/>
                      <w:jc w:val="center"/>
                      <w:rPr>
                        <w:sz w:val="14"/>
                        <w:szCs w:val="14"/>
                      </w:rPr>
                    </w:pPr>
                    <w:r w:rsidRPr="00433CC1">
                      <w:rPr>
                        <w:sz w:val="14"/>
                        <w:szCs w:val="14"/>
                      </w:rPr>
                      <w:t>Wren Sterling is a trading name of Wren Sterling Financial Planning Limited, which is authorised and regulated by the Financial Conduct Authority.</w:t>
                    </w:r>
                  </w:p>
                  <w:p w14:paraId="7F11B557" w14:textId="77777777" w:rsidR="00433CC1" w:rsidRPr="006E4DE8" w:rsidRDefault="00433CC1" w:rsidP="00433CC1">
                    <w:pPr>
                      <w:pStyle w:val="Footer"/>
                      <w:jc w:val="center"/>
                      <w:rPr>
                        <w:sz w:val="14"/>
                        <w:szCs w:val="14"/>
                      </w:rPr>
                    </w:pPr>
                    <w:r w:rsidRPr="00433CC1">
                      <w:rPr>
                        <w:sz w:val="14"/>
                        <w:szCs w:val="14"/>
                      </w:rPr>
                      <w:t>The Financial Services Register number is 665653. Registered office: 13-19 Derby Road, Nottingham NG1 5AA. Registered in England No. 09157918.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F9338" w14:textId="77777777" w:rsidR="00713953" w:rsidRDefault="00713953" w:rsidP="0081687A">
      <w:pPr>
        <w:spacing w:after="0" w:line="240" w:lineRule="auto"/>
      </w:pPr>
      <w:r>
        <w:separator/>
      </w:r>
    </w:p>
  </w:footnote>
  <w:footnote w:type="continuationSeparator" w:id="0">
    <w:p w14:paraId="4AA7E7AB" w14:textId="77777777" w:rsidR="00713953" w:rsidRDefault="00713953" w:rsidP="00816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340AB" w14:textId="77777777" w:rsidR="0081687A" w:rsidRDefault="0081687A" w:rsidP="0081687A">
    <w:pPr>
      <w:pStyle w:val="Header"/>
      <w:jc w:val="right"/>
    </w:pPr>
    <w:r>
      <w:rPr>
        <w:noProof/>
      </w:rPr>
      <w:drawing>
        <wp:inline distT="0" distB="0" distL="0" distR="0" wp14:anchorId="7739022C" wp14:editId="61154E70">
          <wp:extent cx="1992618" cy="302783"/>
          <wp:effectExtent l="0" t="0" r="0" b="2540"/>
          <wp:docPr id="1970625617" name="Picture 1970625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7728" cy="306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0E01C" w14:textId="77777777" w:rsidR="0081687A" w:rsidRDefault="0081687A" w:rsidP="0081687A">
    <w:pPr>
      <w:pStyle w:val="Header"/>
      <w:jc w:val="right"/>
    </w:pPr>
    <w:r>
      <w:rPr>
        <w:noProof/>
      </w:rPr>
      <w:drawing>
        <wp:inline distT="0" distB="0" distL="0" distR="0" wp14:anchorId="096F13A7" wp14:editId="0551B5E7">
          <wp:extent cx="1992618" cy="302783"/>
          <wp:effectExtent l="0" t="0" r="0" b="2540"/>
          <wp:docPr id="1409183088" name="Picture 14091830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7728" cy="306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E4E17"/>
    <w:multiLevelType w:val="hybridMultilevel"/>
    <w:tmpl w:val="2F682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74DC1"/>
    <w:multiLevelType w:val="hybridMultilevel"/>
    <w:tmpl w:val="521EA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F0FC8"/>
    <w:multiLevelType w:val="hybridMultilevel"/>
    <w:tmpl w:val="2E106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B2449"/>
    <w:multiLevelType w:val="hybridMultilevel"/>
    <w:tmpl w:val="A300CA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375C5C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7428D"/>
    <w:multiLevelType w:val="hybridMultilevel"/>
    <w:tmpl w:val="D70ED414"/>
    <w:lvl w:ilvl="0" w:tplc="48BCE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75C5C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9095B"/>
    <w:multiLevelType w:val="hybridMultilevel"/>
    <w:tmpl w:val="A846250A"/>
    <w:lvl w:ilvl="0" w:tplc="48BCE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75C5C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C46D1"/>
    <w:multiLevelType w:val="hybridMultilevel"/>
    <w:tmpl w:val="14C62D8E"/>
    <w:lvl w:ilvl="0" w:tplc="48BCE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75C5C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205772">
    <w:abstractNumId w:val="5"/>
  </w:num>
  <w:num w:numId="2" w16cid:durableId="1741517773">
    <w:abstractNumId w:val="6"/>
  </w:num>
  <w:num w:numId="3" w16cid:durableId="1043481679">
    <w:abstractNumId w:val="3"/>
  </w:num>
  <w:num w:numId="4" w16cid:durableId="1338650319">
    <w:abstractNumId w:val="4"/>
  </w:num>
  <w:num w:numId="5" w16cid:durableId="1246647889">
    <w:abstractNumId w:val="0"/>
  </w:num>
  <w:num w:numId="6" w16cid:durableId="1369378700">
    <w:abstractNumId w:val="2"/>
  </w:num>
  <w:num w:numId="7" w16cid:durableId="283193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E83"/>
    <w:rsid w:val="000123AB"/>
    <w:rsid w:val="00023DB5"/>
    <w:rsid w:val="00035F58"/>
    <w:rsid w:val="00042363"/>
    <w:rsid w:val="000446E8"/>
    <w:rsid w:val="00044F50"/>
    <w:rsid w:val="00051DDE"/>
    <w:rsid w:val="00053403"/>
    <w:rsid w:val="0007043A"/>
    <w:rsid w:val="00080714"/>
    <w:rsid w:val="0008463A"/>
    <w:rsid w:val="00094097"/>
    <w:rsid w:val="000A6FB9"/>
    <w:rsid w:val="000B452E"/>
    <w:rsid w:val="000B7027"/>
    <w:rsid w:val="000C6C32"/>
    <w:rsid w:val="00144C0C"/>
    <w:rsid w:val="0014629F"/>
    <w:rsid w:val="00146965"/>
    <w:rsid w:val="00146B95"/>
    <w:rsid w:val="00146C0E"/>
    <w:rsid w:val="00150AA6"/>
    <w:rsid w:val="001747CB"/>
    <w:rsid w:val="00196939"/>
    <w:rsid w:val="001A112D"/>
    <w:rsid w:val="001A6FEA"/>
    <w:rsid w:val="001B03CF"/>
    <w:rsid w:val="001B1168"/>
    <w:rsid w:val="001B38C8"/>
    <w:rsid w:val="001B496C"/>
    <w:rsid w:val="001B5B1B"/>
    <w:rsid w:val="001B7E83"/>
    <w:rsid w:val="001D2E2F"/>
    <w:rsid w:val="001D4286"/>
    <w:rsid w:val="001D623E"/>
    <w:rsid w:val="001E1D49"/>
    <w:rsid w:val="001E2815"/>
    <w:rsid w:val="00201670"/>
    <w:rsid w:val="00207BE9"/>
    <w:rsid w:val="00213810"/>
    <w:rsid w:val="00224923"/>
    <w:rsid w:val="00225348"/>
    <w:rsid w:val="002317F4"/>
    <w:rsid w:val="00250811"/>
    <w:rsid w:val="00291921"/>
    <w:rsid w:val="002A0B5A"/>
    <w:rsid w:val="002B4F8D"/>
    <w:rsid w:val="002B7C99"/>
    <w:rsid w:val="002C3C05"/>
    <w:rsid w:val="002D4807"/>
    <w:rsid w:val="002E20E6"/>
    <w:rsid w:val="002F09CE"/>
    <w:rsid w:val="002F2EB3"/>
    <w:rsid w:val="003060DB"/>
    <w:rsid w:val="0032273D"/>
    <w:rsid w:val="00325A78"/>
    <w:rsid w:val="00326978"/>
    <w:rsid w:val="00351B31"/>
    <w:rsid w:val="00354741"/>
    <w:rsid w:val="00354FF5"/>
    <w:rsid w:val="00356119"/>
    <w:rsid w:val="0036344B"/>
    <w:rsid w:val="0037405E"/>
    <w:rsid w:val="00383A5F"/>
    <w:rsid w:val="00390E0F"/>
    <w:rsid w:val="003A4109"/>
    <w:rsid w:val="003B1465"/>
    <w:rsid w:val="003B681C"/>
    <w:rsid w:val="003C1AC1"/>
    <w:rsid w:val="003C2A40"/>
    <w:rsid w:val="003D2857"/>
    <w:rsid w:val="003D2B9D"/>
    <w:rsid w:val="00407AFA"/>
    <w:rsid w:val="00411F5E"/>
    <w:rsid w:val="0042000E"/>
    <w:rsid w:val="00433CC1"/>
    <w:rsid w:val="00452A75"/>
    <w:rsid w:val="00453382"/>
    <w:rsid w:val="004728F5"/>
    <w:rsid w:val="00481F59"/>
    <w:rsid w:val="004A22D3"/>
    <w:rsid w:val="004B0A4C"/>
    <w:rsid w:val="004B452A"/>
    <w:rsid w:val="004C31D0"/>
    <w:rsid w:val="004C38F5"/>
    <w:rsid w:val="004E70A7"/>
    <w:rsid w:val="00501629"/>
    <w:rsid w:val="005022E1"/>
    <w:rsid w:val="005052A4"/>
    <w:rsid w:val="00506D5F"/>
    <w:rsid w:val="00514ABA"/>
    <w:rsid w:val="00514EAA"/>
    <w:rsid w:val="00533463"/>
    <w:rsid w:val="005418C1"/>
    <w:rsid w:val="00542713"/>
    <w:rsid w:val="00554CD2"/>
    <w:rsid w:val="00557481"/>
    <w:rsid w:val="00564595"/>
    <w:rsid w:val="00580FEB"/>
    <w:rsid w:val="005932D1"/>
    <w:rsid w:val="005A7241"/>
    <w:rsid w:val="005B3C8F"/>
    <w:rsid w:val="005E09B5"/>
    <w:rsid w:val="005F0A81"/>
    <w:rsid w:val="005F107E"/>
    <w:rsid w:val="005F7CB0"/>
    <w:rsid w:val="0060219F"/>
    <w:rsid w:val="0060647F"/>
    <w:rsid w:val="006107B9"/>
    <w:rsid w:val="00636FC9"/>
    <w:rsid w:val="00643F37"/>
    <w:rsid w:val="00655223"/>
    <w:rsid w:val="00657669"/>
    <w:rsid w:val="00663C9F"/>
    <w:rsid w:val="00686A33"/>
    <w:rsid w:val="006B4832"/>
    <w:rsid w:val="006C2037"/>
    <w:rsid w:val="006C7E3C"/>
    <w:rsid w:val="006D2980"/>
    <w:rsid w:val="006D684D"/>
    <w:rsid w:val="006D7CE0"/>
    <w:rsid w:val="006E2CEB"/>
    <w:rsid w:val="006E4DE8"/>
    <w:rsid w:val="00713953"/>
    <w:rsid w:val="00725EC5"/>
    <w:rsid w:val="00735EC9"/>
    <w:rsid w:val="00742D8D"/>
    <w:rsid w:val="00771BC3"/>
    <w:rsid w:val="00781F03"/>
    <w:rsid w:val="007824B2"/>
    <w:rsid w:val="00785B5F"/>
    <w:rsid w:val="00790BAE"/>
    <w:rsid w:val="007A2316"/>
    <w:rsid w:val="007A4431"/>
    <w:rsid w:val="007A659E"/>
    <w:rsid w:val="007B774E"/>
    <w:rsid w:val="007C0851"/>
    <w:rsid w:val="007C7D39"/>
    <w:rsid w:val="007D092A"/>
    <w:rsid w:val="007F2E4B"/>
    <w:rsid w:val="007F4FCF"/>
    <w:rsid w:val="00804C93"/>
    <w:rsid w:val="00805DEA"/>
    <w:rsid w:val="0081687A"/>
    <w:rsid w:val="00836F7A"/>
    <w:rsid w:val="0084690D"/>
    <w:rsid w:val="00846DBD"/>
    <w:rsid w:val="00860B1A"/>
    <w:rsid w:val="0086109A"/>
    <w:rsid w:val="008638CA"/>
    <w:rsid w:val="00865EB3"/>
    <w:rsid w:val="00867EBA"/>
    <w:rsid w:val="0087593B"/>
    <w:rsid w:val="008A1134"/>
    <w:rsid w:val="008A1A77"/>
    <w:rsid w:val="008E0ACF"/>
    <w:rsid w:val="008F27EE"/>
    <w:rsid w:val="00902EB1"/>
    <w:rsid w:val="009112C3"/>
    <w:rsid w:val="00945E8C"/>
    <w:rsid w:val="00955F83"/>
    <w:rsid w:val="00957330"/>
    <w:rsid w:val="0097310F"/>
    <w:rsid w:val="00975C2E"/>
    <w:rsid w:val="009A205F"/>
    <w:rsid w:val="009B6E0C"/>
    <w:rsid w:val="009C250C"/>
    <w:rsid w:val="009C3C7A"/>
    <w:rsid w:val="00A04F20"/>
    <w:rsid w:val="00A05932"/>
    <w:rsid w:val="00A10ADA"/>
    <w:rsid w:val="00A47DB9"/>
    <w:rsid w:val="00A52215"/>
    <w:rsid w:val="00A5320A"/>
    <w:rsid w:val="00A54C8B"/>
    <w:rsid w:val="00A7595D"/>
    <w:rsid w:val="00A7771F"/>
    <w:rsid w:val="00A817E2"/>
    <w:rsid w:val="00AB3D1D"/>
    <w:rsid w:val="00AB6785"/>
    <w:rsid w:val="00AC16C5"/>
    <w:rsid w:val="00AC2C3B"/>
    <w:rsid w:val="00AC57AE"/>
    <w:rsid w:val="00AE38BB"/>
    <w:rsid w:val="00AE7AFD"/>
    <w:rsid w:val="00B07E27"/>
    <w:rsid w:val="00B3716C"/>
    <w:rsid w:val="00B54237"/>
    <w:rsid w:val="00B54EEE"/>
    <w:rsid w:val="00B63E18"/>
    <w:rsid w:val="00B64DAC"/>
    <w:rsid w:val="00B81BE8"/>
    <w:rsid w:val="00B91127"/>
    <w:rsid w:val="00B922B5"/>
    <w:rsid w:val="00B9561A"/>
    <w:rsid w:val="00BB6FA1"/>
    <w:rsid w:val="00BC5984"/>
    <w:rsid w:val="00BD0B9B"/>
    <w:rsid w:val="00BD6396"/>
    <w:rsid w:val="00BF5C84"/>
    <w:rsid w:val="00BF7D5C"/>
    <w:rsid w:val="00C054F1"/>
    <w:rsid w:val="00C062FE"/>
    <w:rsid w:val="00C11EDA"/>
    <w:rsid w:val="00C2762A"/>
    <w:rsid w:val="00C341D3"/>
    <w:rsid w:val="00C42BAE"/>
    <w:rsid w:val="00C44F5B"/>
    <w:rsid w:val="00C47C3E"/>
    <w:rsid w:val="00C77664"/>
    <w:rsid w:val="00C81ACB"/>
    <w:rsid w:val="00C8227D"/>
    <w:rsid w:val="00C84910"/>
    <w:rsid w:val="00C952F6"/>
    <w:rsid w:val="00C969A8"/>
    <w:rsid w:val="00CC068A"/>
    <w:rsid w:val="00CD10F0"/>
    <w:rsid w:val="00CD366A"/>
    <w:rsid w:val="00D1339E"/>
    <w:rsid w:val="00D171ED"/>
    <w:rsid w:val="00D365F0"/>
    <w:rsid w:val="00D41171"/>
    <w:rsid w:val="00D633F0"/>
    <w:rsid w:val="00D76525"/>
    <w:rsid w:val="00D83DCF"/>
    <w:rsid w:val="00D847EE"/>
    <w:rsid w:val="00D86053"/>
    <w:rsid w:val="00D97AE9"/>
    <w:rsid w:val="00DB48B6"/>
    <w:rsid w:val="00DC2F51"/>
    <w:rsid w:val="00DD25CC"/>
    <w:rsid w:val="00DE21A8"/>
    <w:rsid w:val="00DF2C0D"/>
    <w:rsid w:val="00DF5078"/>
    <w:rsid w:val="00DF67C4"/>
    <w:rsid w:val="00DF6E5A"/>
    <w:rsid w:val="00E04C51"/>
    <w:rsid w:val="00E07B37"/>
    <w:rsid w:val="00E143D0"/>
    <w:rsid w:val="00E2442D"/>
    <w:rsid w:val="00E27E94"/>
    <w:rsid w:val="00E32644"/>
    <w:rsid w:val="00E42D42"/>
    <w:rsid w:val="00E43515"/>
    <w:rsid w:val="00E5212B"/>
    <w:rsid w:val="00E67E19"/>
    <w:rsid w:val="00E72C50"/>
    <w:rsid w:val="00E9629A"/>
    <w:rsid w:val="00E962DE"/>
    <w:rsid w:val="00EA3ACC"/>
    <w:rsid w:val="00EB1EFD"/>
    <w:rsid w:val="00EC4446"/>
    <w:rsid w:val="00ED76AC"/>
    <w:rsid w:val="00EE415E"/>
    <w:rsid w:val="00EF2E17"/>
    <w:rsid w:val="00F1116E"/>
    <w:rsid w:val="00F27900"/>
    <w:rsid w:val="00F36B31"/>
    <w:rsid w:val="00F5138B"/>
    <w:rsid w:val="00F5788C"/>
    <w:rsid w:val="00F75F6E"/>
    <w:rsid w:val="00F83C6E"/>
    <w:rsid w:val="00F854F6"/>
    <w:rsid w:val="00F912CB"/>
    <w:rsid w:val="00F96F65"/>
    <w:rsid w:val="00FA3CD8"/>
    <w:rsid w:val="00FB22B2"/>
    <w:rsid w:val="00FC65C4"/>
    <w:rsid w:val="00FC7700"/>
    <w:rsid w:val="00FF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600F36"/>
  <w15:chartTrackingRefBased/>
  <w15:docId w15:val="{990A3CC1-8AC5-444B-8040-922CA7C7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87A"/>
    <w:rPr>
      <w:rFonts w:ascii="Avenir Next LT Pro" w:hAnsi="Avenir Next LT Pro"/>
      <w:color w:val="053333" w:themeColor="background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687A"/>
    <w:pPr>
      <w:keepNext/>
      <w:keepLines/>
      <w:spacing w:before="240" w:after="0"/>
      <w:outlineLvl w:val="0"/>
    </w:pPr>
    <w:rPr>
      <w:rFonts w:ascii="Avenir Next LT Pro Demi" w:eastAsiaTheme="majorEastAsia" w:hAnsi="Avenir Next LT Pro Dem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87A"/>
    <w:pPr>
      <w:keepNext/>
      <w:keepLines/>
      <w:spacing w:before="40" w:after="0"/>
      <w:outlineLvl w:val="1"/>
    </w:pPr>
    <w:rPr>
      <w:rFonts w:ascii="Avenir LT Std 45 Book" w:eastAsiaTheme="majorEastAsia" w:hAnsi="Avenir LT Std 45 Book" w:cstheme="majorBidi"/>
      <w:color w:val="63A8A3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87A"/>
    <w:pPr>
      <w:keepNext/>
      <w:keepLines/>
      <w:spacing w:before="40" w:after="0"/>
      <w:outlineLvl w:val="2"/>
    </w:pPr>
    <w:rPr>
      <w:rFonts w:ascii="Avenir Next LT Pro Demi" w:eastAsiaTheme="majorEastAsia" w:hAnsi="Avenir Next LT Pro Dem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687A"/>
    <w:pPr>
      <w:keepNext/>
      <w:keepLines/>
      <w:spacing w:before="40" w:after="0"/>
      <w:outlineLvl w:val="3"/>
    </w:pPr>
    <w:rPr>
      <w:rFonts w:ascii="Avenir LT Pro 45 Book" w:eastAsiaTheme="majorEastAsia" w:hAnsi="Avenir LT Pro 45 Book" w:cstheme="majorBidi"/>
      <w:iCs/>
      <w:color w:val="305653" w:themeColor="accent1" w:themeShade="8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87A"/>
  </w:style>
  <w:style w:type="paragraph" w:styleId="Footer">
    <w:name w:val="footer"/>
    <w:basedOn w:val="Normal"/>
    <w:link w:val="FooterChar"/>
    <w:uiPriority w:val="99"/>
    <w:unhideWhenUsed/>
    <w:rsid w:val="00816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87A"/>
  </w:style>
  <w:style w:type="paragraph" w:styleId="NoSpacing">
    <w:name w:val="No Spacing"/>
    <w:uiPriority w:val="1"/>
    <w:qFormat/>
    <w:rsid w:val="0081687A"/>
    <w:pPr>
      <w:spacing w:after="0" w:line="240" w:lineRule="auto"/>
    </w:pPr>
    <w:rPr>
      <w:rFonts w:ascii="Avenir Next LT Pro" w:hAnsi="Avenir Next LT Pro"/>
      <w:color w:val="053333" w:themeColor="background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1687A"/>
    <w:rPr>
      <w:rFonts w:ascii="Avenir Next LT Pro Demi" w:eastAsiaTheme="majorEastAsia" w:hAnsi="Avenir Next LT Pro Demi" w:cstheme="majorBidi"/>
      <w:color w:val="053333" w:themeColor="background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1687A"/>
    <w:rPr>
      <w:rFonts w:ascii="Avenir LT Std 45 Book" w:eastAsiaTheme="majorEastAsia" w:hAnsi="Avenir LT Std 45 Book" w:cstheme="majorBidi"/>
      <w:color w:val="63A8A3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687A"/>
    <w:rPr>
      <w:rFonts w:ascii="Avenir Next LT Pro Demi" w:eastAsiaTheme="majorEastAsia" w:hAnsi="Avenir Next LT Pro Demi" w:cstheme="majorBidi"/>
      <w:color w:val="053333" w:themeColor="background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687A"/>
    <w:rPr>
      <w:rFonts w:ascii="Avenir LT Pro 45 Book" w:eastAsiaTheme="majorEastAsia" w:hAnsi="Avenir LT Pro 45 Book" w:cstheme="majorBidi"/>
      <w:iCs/>
      <w:color w:val="305653" w:themeColor="accent1" w:themeShade="80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1687A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687A"/>
    <w:rPr>
      <w:rFonts w:ascii="Avenir Next LT Pro" w:eastAsiaTheme="majorEastAsia" w:hAnsi="Avenir Next LT Pro" w:cstheme="majorBidi"/>
      <w:b/>
      <w:color w:val="053333" w:themeColor="background1"/>
      <w:spacing w:val="-10"/>
      <w:kern w:val="28"/>
      <w:sz w:val="52"/>
      <w:szCs w:val="56"/>
    </w:rPr>
  </w:style>
  <w:style w:type="paragraph" w:styleId="ListParagraph">
    <w:name w:val="List Paragraph"/>
    <w:basedOn w:val="Normal"/>
    <w:uiPriority w:val="34"/>
    <w:qFormat/>
    <w:rsid w:val="00433CC1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E67E19"/>
    <w:pPr>
      <w:outlineLvl w:val="9"/>
    </w:pPr>
    <w:rPr>
      <w:rFonts w:asciiTheme="majorHAnsi" w:hAnsiTheme="majorHAnsi"/>
      <w:color w:val="47807B" w:themeColor="accent1" w:themeShade="BF"/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E67E1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67E19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E67E19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E67E19"/>
    <w:rPr>
      <w:color w:val="A8A9AD" w:themeColor="hyperlink"/>
      <w:u w:val="single"/>
    </w:rPr>
  </w:style>
  <w:style w:type="table" w:styleId="TableGrid">
    <w:name w:val="Table Grid"/>
    <w:basedOn w:val="TableNormal"/>
    <w:uiPriority w:val="39"/>
    <w:rsid w:val="00865EB3"/>
    <w:pPr>
      <w:spacing w:after="0" w:line="240" w:lineRule="auto"/>
    </w:pPr>
    <w:rPr>
      <w:rFonts w:ascii="Avenir Next LT Pro" w:hAnsi="Avenir Next LT Pro"/>
      <w:color w:val="053333" w:themeColor="background1"/>
    </w:rPr>
    <w:tblPr>
      <w:tblBorders>
        <w:top w:val="single" w:sz="4" w:space="0" w:color="053333" w:themeColor="background1"/>
        <w:left w:val="single" w:sz="4" w:space="0" w:color="053333" w:themeColor="background1"/>
        <w:bottom w:val="single" w:sz="4" w:space="0" w:color="053333" w:themeColor="background1"/>
        <w:right w:val="single" w:sz="4" w:space="0" w:color="053333" w:themeColor="background1"/>
        <w:insideH w:val="single" w:sz="4" w:space="0" w:color="053333" w:themeColor="background1"/>
        <w:insideV w:val="single" w:sz="4" w:space="0" w:color="053333" w:themeColor="background1"/>
      </w:tblBorders>
    </w:tblPr>
    <w:tcPr>
      <w:vAlign w:val="center"/>
    </w:tcPr>
    <w:tblStylePr w:type="firstRow">
      <w:pPr>
        <w:jc w:val="left"/>
      </w:pPr>
      <w:tblPr/>
      <w:tcPr>
        <w:shd w:val="clear" w:color="auto" w:fill="63A8A3" w:themeFill="accent1"/>
      </w:tcPr>
    </w:tblStylePr>
    <w:tblStylePr w:type="firstCol">
      <w:tblPr/>
      <w:tcPr>
        <w:shd w:val="clear" w:color="auto" w:fill="CDE3E1" w:themeFill="accent2" w:themeFillTint="66"/>
      </w:tcPr>
    </w:tblStylePr>
  </w:style>
  <w:style w:type="character" w:styleId="Strong">
    <w:name w:val="Strong"/>
    <w:basedOn w:val="DefaultParagraphFont"/>
    <w:uiPriority w:val="22"/>
    <w:qFormat/>
    <w:rsid w:val="00865EB3"/>
    <w:rPr>
      <w:b/>
      <w:bCs/>
    </w:rPr>
  </w:style>
  <w:style w:type="table" w:styleId="GridTable2">
    <w:name w:val="Grid Table 2"/>
    <w:basedOn w:val="TableNormal"/>
    <w:uiPriority w:val="47"/>
    <w:rsid w:val="00865EB3"/>
    <w:pPr>
      <w:spacing w:after="0" w:line="240" w:lineRule="auto"/>
    </w:pPr>
    <w:tblPr>
      <w:tblStyleRowBandSize w:val="1"/>
      <w:tblStyleColBandSize w:val="1"/>
      <w:tblBorders>
        <w:top w:val="single" w:sz="2" w:space="0" w:color="76ADAD" w:themeColor="text1" w:themeTint="99"/>
        <w:bottom w:val="single" w:sz="2" w:space="0" w:color="76ADAD" w:themeColor="text1" w:themeTint="99"/>
        <w:insideH w:val="single" w:sz="2" w:space="0" w:color="76ADAD" w:themeColor="text1" w:themeTint="99"/>
        <w:insideV w:val="single" w:sz="2" w:space="0" w:color="76ADAD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ADAD" w:themeColor="text1" w:themeTint="99"/>
          <w:insideH w:val="nil"/>
          <w:insideV w:val="nil"/>
        </w:tcBorders>
        <w:shd w:val="clear" w:color="auto" w:fill="05333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ADAD" w:themeColor="text1" w:themeTint="99"/>
          <w:bottom w:val="nil"/>
          <w:insideH w:val="nil"/>
          <w:insideV w:val="nil"/>
        </w:tcBorders>
        <w:shd w:val="clear" w:color="auto" w:fill="05333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3E3" w:themeFill="text1" w:themeFillTint="33"/>
      </w:tcPr>
    </w:tblStylePr>
    <w:tblStylePr w:type="band1Horz">
      <w:tblPr/>
      <w:tcPr>
        <w:shd w:val="clear" w:color="auto" w:fill="D1E3E3" w:themeFill="text1" w:themeFillTint="33"/>
      </w:tcPr>
    </w:tblStylePr>
  </w:style>
  <w:style w:type="table" w:styleId="PlainTable5">
    <w:name w:val="Plain Table 5"/>
    <w:basedOn w:val="TableNormal"/>
    <w:uiPriority w:val="45"/>
    <w:rsid w:val="00865EB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CBABA" w:themeColor="text1" w:themeTint="80"/>
        </w:tcBorders>
        <w:shd w:val="clear" w:color="auto" w:fill="05333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CBABA" w:themeColor="text1" w:themeTint="80"/>
        </w:tcBorders>
        <w:shd w:val="clear" w:color="auto" w:fill="05333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CBABA" w:themeColor="text1" w:themeTint="80"/>
        </w:tcBorders>
        <w:shd w:val="clear" w:color="auto" w:fill="05333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CBABA" w:themeColor="text1" w:themeTint="80"/>
        </w:tcBorders>
        <w:shd w:val="clear" w:color="auto" w:fill="053333" w:themeFill="background1"/>
      </w:tcPr>
    </w:tblStylePr>
    <w:tblStylePr w:type="band1Vert">
      <w:tblPr/>
      <w:tcPr>
        <w:shd w:val="clear" w:color="auto" w:fill="043030" w:themeFill="background1" w:themeFillShade="F2"/>
      </w:tcPr>
    </w:tblStylePr>
    <w:tblStylePr w:type="band1Horz">
      <w:tblPr/>
      <w:tcPr>
        <w:shd w:val="clear" w:color="auto" w:fill="043030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865EB3"/>
    <w:pPr>
      <w:numPr>
        <w:ilvl w:val="1"/>
      </w:numPr>
    </w:pPr>
    <w:rPr>
      <w:rFonts w:asciiTheme="minorHAnsi" w:eastAsiaTheme="minorEastAsia" w:hAnsiTheme="minorHAnsi"/>
      <w:color w:val="6BA7A7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65EB3"/>
    <w:rPr>
      <w:rFonts w:eastAsiaTheme="minorEastAsia"/>
      <w:color w:val="6BA7A7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865EB3"/>
    <w:rPr>
      <w:i/>
      <w:iCs/>
      <w:color w:val="599494" w:themeColor="text1" w:themeTint="BF"/>
    </w:rPr>
  </w:style>
  <w:style w:type="character" w:styleId="Emphasis">
    <w:name w:val="Emphasis"/>
    <w:basedOn w:val="DefaultParagraphFont"/>
    <w:uiPriority w:val="20"/>
    <w:qFormat/>
    <w:rsid w:val="00865EB3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65EB3"/>
    <w:rPr>
      <w:i/>
      <w:iCs/>
      <w:color w:val="63A8A3" w:themeColor="accent1"/>
    </w:rPr>
  </w:style>
  <w:style w:type="paragraph" w:styleId="Revision">
    <w:name w:val="Revision"/>
    <w:hidden/>
    <w:uiPriority w:val="99"/>
    <w:semiHidden/>
    <w:rsid w:val="008F27EE"/>
    <w:pPr>
      <w:spacing w:after="0" w:line="240" w:lineRule="auto"/>
    </w:pPr>
    <w:rPr>
      <w:rFonts w:ascii="Avenir Next LT Pro" w:hAnsi="Avenir Next LT Pro"/>
      <w:color w:val="053333" w:themeColor="background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cid:image002.png@01DA08CE.8CBECA50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Wren Sterling 2023">
  <a:themeElements>
    <a:clrScheme name="Wren Sterling Word">
      <a:dk1>
        <a:srgbClr val="375C5C"/>
      </a:dk1>
      <a:lt1>
        <a:srgbClr val="053333"/>
      </a:lt1>
      <a:dk2>
        <a:srgbClr val="698585"/>
      </a:dk2>
      <a:lt2>
        <a:srgbClr val="9BADAD"/>
      </a:lt2>
      <a:accent1>
        <a:srgbClr val="63A8A3"/>
      </a:accent1>
      <a:accent2>
        <a:srgbClr val="82B9B5"/>
      </a:accent2>
      <a:accent3>
        <a:srgbClr val="A1CBC8"/>
      </a:accent3>
      <a:accent4>
        <a:srgbClr val="C1DCDA"/>
      </a:accent4>
      <a:accent5>
        <a:srgbClr val="D1F2BA"/>
      </a:accent5>
      <a:accent6>
        <a:srgbClr val="BFD9DE"/>
      </a:accent6>
      <a:hlink>
        <a:srgbClr val="A8A9AD"/>
      </a:hlink>
      <a:folHlink>
        <a:srgbClr val="7C7D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6DBC4533B4B742A50F9A322F7DA83F" ma:contentTypeVersion="15" ma:contentTypeDescription="Create a new document." ma:contentTypeScope="" ma:versionID="3a4062a9096dadb379187af859832b66">
  <xsd:schema xmlns:xsd="http://www.w3.org/2001/XMLSchema" xmlns:xs="http://www.w3.org/2001/XMLSchema" xmlns:p="http://schemas.microsoft.com/office/2006/metadata/properties" xmlns:ns2="a413bd19-4cd8-455a-a2c3-730b6bc73cd9" xmlns:ns3="81d7cbcf-87a2-49b5-a7b6-4fbf5c5ee3c0" targetNamespace="http://schemas.microsoft.com/office/2006/metadata/properties" ma:root="true" ma:fieldsID="a322068140fdcd91dff7e70f28c5e644" ns2:_="" ns3:_="">
    <xsd:import namespace="a413bd19-4cd8-455a-a2c3-730b6bc73cd9"/>
    <xsd:import namespace="81d7cbcf-87a2-49b5-a7b6-4fbf5c5ee3c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3bd19-4cd8-455a-a2c3-730b6bc73c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9203b99-2169-47c6-bd17-eef915931802}" ma:internalName="TaxCatchAll" ma:showField="CatchAllData" ma:web="a413bd19-4cd8-455a-a2c3-730b6bc73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7cbcf-87a2-49b5-a7b6-4fbf5c5ee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6d8062d-8de7-4dcf-b861-8c3b290807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13bd19-4cd8-455a-a2c3-730b6bc73cd9" xsi:nil="true"/>
    <lcf76f155ced4ddcb4097134ff3c332f xmlns="81d7cbcf-87a2-49b5-a7b6-4fbf5c5ee3c0">
      <Terms xmlns="http://schemas.microsoft.com/office/infopath/2007/PartnerControls"/>
    </lcf76f155ced4ddcb4097134ff3c332f>
    <SharedWithUsers xmlns="a413bd19-4cd8-455a-a2c3-730b6bc73cd9">
      <UserInfo>
        <DisplayName>James Twining</DisplayName>
        <AccountId>1153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40718F-65FA-4F98-A077-7B32C36D6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3bd19-4cd8-455a-a2c3-730b6bc73cd9"/>
    <ds:schemaRef ds:uri="81d7cbcf-87a2-49b5-a7b6-4fbf5c5ee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22242E-7496-472F-A383-821B711CE3B7}">
  <ds:schemaRefs>
    <ds:schemaRef ds:uri="http://schemas.microsoft.com/office/2006/metadata/properties"/>
    <ds:schemaRef ds:uri="http://schemas.microsoft.com/office/infopath/2007/PartnerControls"/>
    <ds:schemaRef ds:uri="a413bd19-4cd8-455a-a2c3-730b6bc73cd9"/>
    <ds:schemaRef ds:uri="81d7cbcf-87a2-49b5-a7b6-4fbf5c5ee3c0"/>
  </ds:schemaRefs>
</ds:datastoreItem>
</file>

<file path=customXml/itemProps3.xml><?xml version="1.0" encoding="utf-8"?>
<ds:datastoreItem xmlns:ds="http://schemas.openxmlformats.org/officeDocument/2006/customXml" ds:itemID="{573B7D9C-D3F4-4D13-94AB-FA3E4D9D31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D2912E-88D4-4F29-85C2-5AE4C235C7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Bowen</dc:creator>
  <cp:keywords/>
  <dc:description/>
  <cp:lastModifiedBy>Nick Moules</cp:lastModifiedBy>
  <cp:revision>2</cp:revision>
  <cp:lastPrinted>2024-04-03T09:21:00Z</cp:lastPrinted>
  <dcterms:created xsi:type="dcterms:W3CDTF">2025-04-03T17:53:00Z</dcterms:created>
  <dcterms:modified xsi:type="dcterms:W3CDTF">2025-04-03T17:53:00Z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0x010100036DBC4533B4B742A50F9A322F7DA83F</vt:lpwstr>
  </property>
  <property fmtid="{D5CDD505-2E9C-101B-9397-08002B2CF9AE}" pid="3" name="MediaServiceImageTags">
    <vt:lpwstr/>
  </property>
</Properties>
</file>